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722C19" w14:textId="77777777" w:rsidR="0044448C" w:rsidRPr="0051032D" w:rsidRDefault="0044448C" w:rsidP="005500A9">
      <w:pPr>
        <w:spacing w:after="0"/>
        <w:jc w:val="center"/>
        <w:rPr>
          <w:rFonts w:ascii="Times New Roman" w:hAnsi="Times New Roman"/>
          <w:b/>
          <w:sz w:val="28"/>
          <w:szCs w:val="24"/>
          <w:lang w:val="id-ID"/>
        </w:rPr>
      </w:pPr>
      <w:r w:rsidRPr="0044448C">
        <w:rPr>
          <w:rFonts w:ascii="Times New Roman" w:hAnsi="Times New Roman"/>
          <w:b/>
          <w:sz w:val="28"/>
          <w:szCs w:val="24"/>
          <w:lang w:val="id-ID"/>
        </w:rPr>
        <w:t>Chemopreventive Activity of Rosella Tea Enhanced with Cinnamon and Lemongrass Oil Vapor Against Breast Cancer Cells</w:t>
      </w:r>
    </w:p>
    <w:p w14:paraId="561286E9" w14:textId="77777777" w:rsidR="00F84DD5" w:rsidRPr="00F84DD5" w:rsidRDefault="00F84DD5" w:rsidP="005500A9">
      <w:pPr>
        <w:spacing w:after="0"/>
        <w:jc w:val="center"/>
        <w:rPr>
          <w:rFonts w:ascii="Times New Roman" w:hAnsi="Times New Roman"/>
          <w:sz w:val="24"/>
          <w:szCs w:val="24"/>
        </w:rPr>
      </w:pPr>
    </w:p>
    <w:p w14:paraId="1FCE6B98" w14:textId="77777777" w:rsidR="00F84DD5" w:rsidRDefault="00A4401E" w:rsidP="005500A9">
      <w:pPr>
        <w:spacing w:after="0"/>
        <w:jc w:val="center"/>
        <w:rPr>
          <w:rFonts w:ascii="Times New Roman" w:hAnsi="Times New Roman"/>
          <w:b/>
          <w:sz w:val="24"/>
          <w:szCs w:val="24"/>
          <w:vertAlign w:val="superscript"/>
          <w:lang w:val="id-ID"/>
        </w:rPr>
      </w:pPr>
      <w:r>
        <w:rPr>
          <w:rFonts w:ascii="Times New Roman" w:hAnsi="Times New Roman"/>
          <w:b/>
          <w:sz w:val="24"/>
          <w:szCs w:val="24"/>
          <w:lang w:val="id-ID"/>
        </w:rPr>
        <w:t>Sabila Aisyah</w:t>
      </w:r>
      <w:r>
        <w:rPr>
          <w:rFonts w:ascii="Times New Roman" w:hAnsi="Times New Roman"/>
          <w:b/>
          <w:sz w:val="24"/>
          <w:szCs w:val="24"/>
          <w:vertAlign w:val="superscript"/>
        </w:rPr>
        <w:t>1</w:t>
      </w:r>
      <w:r w:rsidR="00F84DD5" w:rsidRPr="00F84DD5">
        <w:rPr>
          <w:rFonts w:ascii="Times New Roman" w:hAnsi="Times New Roman"/>
          <w:b/>
          <w:sz w:val="24"/>
          <w:szCs w:val="24"/>
        </w:rPr>
        <w:t xml:space="preserve">, </w:t>
      </w:r>
      <w:r>
        <w:rPr>
          <w:rFonts w:ascii="Times New Roman" w:hAnsi="Times New Roman"/>
          <w:b/>
          <w:sz w:val="24"/>
          <w:szCs w:val="24"/>
          <w:lang w:val="id-ID"/>
        </w:rPr>
        <w:t>Edy Cahyono</w:t>
      </w:r>
      <w:r w:rsidRPr="00A4401E">
        <w:rPr>
          <w:rFonts w:ascii="Times New Roman" w:hAnsi="Times New Roman"/>
          <w:b/>
          <w:sz w:val="24"/>
          <w:szCs w:val="24"/>
          <w:vertAlign w:val="superscript"/>
          <w:lang w:val="id-ID"/>
        </w:rPr>
        <w:t>1,*</w:t>
      </w:r>
      <w:r w:rsidR="00F84DD5" w:rsidRPr="00F84DD5">
        <w:rPr>
          <w:rFonts w:ascii="Times New Roman" w:hAnsi="Times New Roman"/>
          <w:b/>
          <w:sz w:val="24"/>
          <w:szCs w:val="24"/>
        </w:rPr>
        <w:t xml:space="preserve">, </w:t>
      </w:r>
      <w:r>
        <w:rPr>
          <w:rFonts w:ascii="Times New Roman" w:hAnsi="Times New Roman"/>
          <w:b/>
          <w:sz w:val="24"/>
          <w:szCs w:val="24"/>
          <w:lang w:val="id-ID"/>
        </w:rPr>
        <w:t>Nugrahaningsih WH</w:t>
      </w:r>
      <w:r w:rsidR="00F84DD5" w:rsidRPr="00F84DD5">
        <w:rPr>
          <w:rFonts w:ascii="Times New Roman" w:hAnsi="Times New Roman"/>
          <w:b/>
          <w:sz w:val="24"/>
          <w:szCs w:val="24"/>
          <w:vertAlign w:val="superscript"/>
        </w:rPr>
        <w:t>2</w:t>
      </w:r>
      <w:r>
        <w:rPr>
          <w:rFonts w:ascii="Times New Roman" w:hAnsi="Times New Roman"/>
          <w:b/>
          <w:sz w:val="24"/>
          <w:szCs w:val="24"/>
          <w:lang w:val="id-ID"/>
        </w:rPr>
        <w:t>, Dante Alighiri</w:t>
      </w:r>
      <w:r>
        <w:rPr>
          <w:rFonts w:ascii="Times New Roman" w:hAnsi="Times New Roman"/>
          <w:b/>
          <w:sz w:val="24"/>
          <w:szCs w:val="24"/>
          <w:vertAlign w:val="superscript"/>
          <w:lang w:val="id-ID"/>
        </w:rPr>
        <w:t>1</w:t>
      </w:r>
      <w:r>
        <w:rPr>
          <w:rFonts w:ascii="Times New Roman" w:hAnsi="Times New Roman"/>
          <w:b/>
          <w:sz w:val="24"/>
          <w:szCs w:val="24"/>
          <w:lang w:val="id-ID"/>
        </w:rPr>
        <w:t>, Adrian Maulana Zaky</w:t>
      </w:r>
      <w:r>
        <w:rPr>
          <w:rFonts w:ascii="Times New Roman" w:hAnsi="Times New Roman"/>
          <w:b/>
          <w:sz w:val="24"/>
          <w:szCs w:val="24"/>
          <w:vertAlign w:val="superscript"/>
          <w:lang w:val="id-ID"/>
        </w:rPr>
        <w:t>1</w:t>
      </w:r>
      <w:r>
        <w:rPr>
          <w:rFonts w:ascii="Times New Roman" w:hAnsi="Times New Roman"/>
          <w:b/>
          <w:sz w:val="24"/>
          <w:szCs w:val="24"/>
          <w:lang w:val="id-ID"/>
        </w:rPr>
        <w:t>, Tri Handayani</w:t>
      </w:r>
      <w:r>
        <w:rPr>
          <w:rFonts w:ascii="Times New Roman" w:hAnsi="Times New Roman"/>
          <w:b/>
          <w:sz w:val="24"/>
          <w:szCs w:val="24"/>
          <w:vertAlign w:val="superscript"/>
          <w:lang w:val="id-ID"/>
        </w:rPr>
        <w:t>1</w:t>
      </w:r>
      <w:r>
        <w:rPr>
          <w:rFonts w:ascii="Times New Roman" w:hAnsi="Times New Roman"/>
          <w:b/>
          <w:sz w:val="24"/>
          <w:szCs w:val="24"/>
          <w:lang w:val="id-ID"/>
        </w:rPr>
        <w:t>, Bella Permatasari</w:t>
      </w:r>
      <w:r>
        <w:rPr>
          <w:rFonts w:ascii="Times New Roman" w:hAnsi="Times New Roman"/>
          <w:b/>
          <w:sz w:val="24"/>
          <w:szCs w:val="24"/>
          <w:vertAlign w:val="superscript"/>
          <w:lang w:val="id-ID"/>
        </w:rPr>
        <w:t>1</w:t>
      </w:r>
    </w:p>
    <w:p w14:paraId="4D025C9E" w14:textId="77777777" w:rsidR="00A4401E" w:rsidRPr="00A4401E" w:rsidRDefault="00A4401E" w:rsidP="005500A9">
      <w:pPr>
        <w:spacing w:after="0"/>
        <w:jc w:val="center"/>
        <w:rPr>
          <w:rFonts w:ascii="Times New Roman" w:hAnsi="Times New Roman"/>
          <w:b/>
          <w:sz w:val="24"/>
          <w:szCs w:val="24"/>
          <w:lang w:val="id-ID"/>
        </w:rPr>
      </w:pPr>
    </w:p>
    <w:p w14:paraId="6EA7EE4A" w14:textId="77777777" w:rsidR="00A4401E" w:rsidRPr="00A4401E" w:rsidRDefault="00A4401E" w:rsidP="005500A9">
      <w:pPr>
        <w:pBdr>
          <w:top w:val="nil"/>
          <w:left w:val="nil"/>
          <w:bottom w:val="nil"/>
          <w:right w:val="nil"/>
          <w:between w:val="nil"/>
        </w:pBdr>
        <w:spacing w:after="0"/>
        <w:jc w:val="center"/>
        <w:rPr>
          <w:rFonts w:ascii="Times New Roman" w:hAnsi="Times New Roman"/>
          <w:color w:val="000000"/>
          <w:sz w:val="24"/>
          <w:szCs w:val="24"/>
          <w:lang w:val="id-ID"/>
        </w:rPr>
      </w:pPr>
      <w:r w:rsidRPr="00A4401E">
        <w:rPr>
          <w:rFonts w:ascii="Times New Roman" w:hAnsi="Times New Roman"/>
          <w:color w:val="000000"/>
          <w:sz w:val="24"/>
          <w:szCs w:val="24"/>
          <w:vertAlign w:val="superscript"/>
          <w:lang w:val="id-ID"/>
        </w:rPr>
        <w:t>1</w:t>
      </w:r>
      <w:r w:rsidRPr="00A4401E">
        <w:rPr>
          <w:rFonts w:ascii="Times New Roman" w:hAnsi="Times New Roman"/>
          <w:color w:val="000000"/>
          <w:sz w:val="24"/>
          <w:szCs w:val="24"/>
          <w:lang w:val="id-ID"/>
        </w:rPr>
        <w:t>Jurusan Kimia, Fakultas Matematika dan Ilmu Pengetahuan Alam, Universitas Negeri Semarang, Semarang, 50229, Indonesia</w:t>
      </w:r>
    </w:p>
    <w:p w14:paraId="3B6D855E" w14:textId="77777777" w:rsidR="00F84DD5" w:rsidRDefault="00A4401E" w:rsidP="005500A9">
      <w:pPr>
        <w:spacing w:after="0"/>
        <w:jc w:val="center"/>
        <w:rPr>
          <w:rFonts w:ascii="Times New Roman" w:hAnsi="Times New Roman"/>
          <w:color w:val="000000"/>
          <w:sz w:val="24"/>
          <w:szCs w:val="24"/>
          <w:lang w:val="id-ID"/>
        </w:rPr>
      </w:pPr>
      <w:r>
        <w:rPr>
          <w:rFonts w:ascii="Times New Roman" w:hAnsi="Times New Roman"/>
          <w:color w:val="000000"/>
          <w:sz w:val="24"/>
          <w:szCs w:val="24"/>
          <w:vertAlign w:val="superscript"/>
          <w:lang w:val="id-ID"/>
        </w:rPr>
        <w:t>2</w:t>
      </w:r>
      <w:r w:rsidRPr="00A4401E">
        <w:rPr>
          <w:rFonts w:ascii="Times New Roman" w:hAnsi="Times New Roman"/>
          <w:color w:val="000000"/>
          <w:sz w:val="24"/>
          <w:szCs w:val="24"/>
          <w:lang w:val="id-ID"/>
        </w:rPr>
        <w:t>Jurusan Biologi, Fakultas Matematika dan Ilmu Pengetahuan Alam, Universitas Negeri Semarang, Semarang, 50229, Indonesia</w:t>
      </w:r>
    </w:p>
    <w:p w14:paraId="73A243FB" w14:textId="77777777" w:rsidR="00A4401E" w:rsidRPr="00A4401E" w:rsidRDefault="00A4401E" w:rsidP="005500A9">
      <w:pPr>
        <w:spacing w:after="0"/>
        <w:jc w:val="center"/>
        <w:rPr>
          <w:rFonts w:ascii="Times New Roman" w:hAnsi="Times New Roman"/>
          <w:sz w:val="24"/>
          <w:szCs w:val="24"/>
        </w:rPr>
      </w:pPr>
    </w:p>
    <w:p w14:paraId="3316F669" w14:textId="77777777" w:rsidR="00F84DD5" w:rsidRPr="00A4401E" w:rsidRDefault="00F84DD5" w:rsidP="005500A9">
      <w:pPr>
        <w:spacing w:after="0"/>
        <w:jc w:val="center"/>
        <w:rPr>
          <w:rFonts w:ascii="Times New Roman" w:hAnsi="Times New Roman"/>
          <w:sz w:val="24"/>
          <w:szCs w:val="24"/>
          <w:lang w:val="id-ID"/>
        </w:rPr>
      </w:pPr>
      <w:r>
        <w:rPr>
          <w:rFonts w:ascii="Times New Roman" w:hAnsi="Times New Roman"/>
          <w:sz w:val="24"/>
          <w:szCs w:val="24"/>
        </w:rPr>
        <w:t xml:space="preserve">*Corresponding Author. Email: </w:t>
      </w:r>
      <w:hyperlink r:id="rId8" w:history="1">
        <w:r w:rsidR="00A4401E" w:rsidRPr="00C52A13">
          <w:rPr>
            <w:rStyle w:val="Hyperlink"/>
            <w:rFonts w:ascii="Times New Roman" w:hAnsi="Times New Roman"/>
            <w:sz w:val="24"/>
            <w:szCs w:val="24"/>
            <w:lang w:val="id-ID"/>
          </w:rPr>
          <w:t>edkim@mail.unnes.ac.id</w:t>
        </w:r>
      </w:hyperlink>
      <w:r w:rsidR="00A4401E">
        <w:rPr>
          <w:rFonts w:ascii="Times New Roman" w:hAnsi="Times New Roman"/>
          <w:sz w:val="24"/>
          <w:szCs w:val="24"/>
          <w:lang w:val="id-ID"/>
        </w:rPr>
        <w:t xml:space="preserve"> </w:t>
      </w:r>
    </w:p>
    <w:p w14:paraId="12F7E84C" w14:textId="77777777" w:rsidR="00F84DD5" w:rsidRPr="0051032D" w:rsidRDefault="00F84DD5" w:rsidP="005500A9">
      <w:pPr>
        <w:spacing w:after="0"/>
        <w:jc w:val="center"/>
        <w:rPr>
          <w:rFonts w:ascii="Times New Roman" w:hAnsi="Times New Roman"/>
          <w:sz w:val="24"/>
          <w:szCs w:val="24"/>
          <w:lang w:val="id-ID"/>
        </w:rPr>
      </w:pPr>
      <w:r>
        <w:rPr>
          <w:rFonts w:ascii="Times New Roman" w:hAnsi="Times New Roman"/>
          <w:sz w:val="24"/>
          <w:szCs w:val="24"/>
        </w:rPr>
        <w:t>Telp: +62-</w:t>
      </w:r>
      <w:r w:rsidR="0051032D">
        <w:rPr>
          <w:rFonts w:ascii="Times New Roman" w:hAnsi="Times New Roman"/>
          <w:sz w:val="24"/>
          <w:szCs w:val="24"/>
          <w:lang w:val="id-ID"/>
        </w:rPr>
        <w:t>81325020898</w:t>
      </w:r>
    </w:p>
    <w:p w14:paraId="4B977065" w14:textId="77777777" w:rsidR="0051032D" w:rsidRDefault="0051032D" w:rsidP="005500A9">
      <w:pPr>
        <w:spacing w:after="0" w:line="480" w:lineRule="auto"/>
        <w:jc w:val="both"/>
        <w:rPr>
          <w:rFonts w:ascii="Times New Roman" w:hAnsi="Times New Roman"/>
          <w:b/>
          <w:sz w:val="24"/>
          <w:szCs w:val="24"/>
        </w:rPr>
      </w:pPr>
    </w:p>
    <w:p w14:paraId="0BBFA2CB" w14:textId="77777777" w:rsidR="00F84DD5" w:rsidRPr="00286C29" w:rsidRDefault="00EE6787" w:rsidP="0044448C">
      <w:pPr>
        <w:spacing w:line="240" w:lineRule="auto"/>
        <w:jc w:val="both"/>
        <w:rPr>
          <w:rFonts w:ascii="Times New Roman" w:hAnsi="Times New Roman"/>
          <w:b/>
          <w:sz w:val="24"/>
          <w:szCs w:val="24"/>
          <w:lang w:val="id-ID"/>
        </w:rPr>
      </w:pPr>
      <w:r>
        <w:rPr>
          <w:rFonts w:ascii="Times New Roman" w:hAnsi="Times New Roman"/>
          <w:b/>
          <w:sz w:val="24"/>
          <w:szCs w:val="24"/>
          <w:lang w:val="id-ID"/>
        </w:rPr>
        <w:t>Abstract</w:t>
      </w:r>
    </w:p>
    <w:p w14:paraId="51D4FFE4" w14:textId="77777777" w:rsidR="004C6894" w:rsidRPr="00A04650" w:rsidRDefault="00EE6787" w:rsidP="005500A9">
      <w:pPr>
        <w:spacing w:after="0" w:line="240" w:lineRule="auto"/>
        <w:jc w:val="both"/>
        <w:rPr>
          <w:rFonts w:ascii="Times New Roman" w:hAnsi="Times New Roman"/>
          <w:sz w:val="24"/>
          <w:szCs w:val="24"/>
        </w:rPr>
      </w:pPr>
      <w:r>
        <w:rPr>
          <w:rFonts w:ascii="Times New Roman" w:hAnsi="Times New Roman"/>
          <w:sz w:val="24"/>
          <w:szCs w:val="24"/>
        </w:rPr>
        <w:t>Breast cancer is</w:t>
      </w:r>
      <w:r w:rsidRPr="00EE6787">
        <w:rPr>
          <w:rFonts w:ascii="Times New Roman" w:hAnsi="Times New Roman"/>
          <w:sz w:val="24"/>
          <w:szCs w:val="24"/>
        </w:rPr>
        <w:t xml:space="preserve"> the most prevalent cancer among women, remains the leading cause of cancer-related mortality worldwide, underscoring the critical importance of preventive strategies. Recent studies have demonstrated the </w:t>
      </w:r>
      <w:proofErr w:type="spellStart"/>
      <w:r w:rsidRPr="00EE6787">
        <w:rPr>
          <w:rFonts w:ascii="Times New Roman" w:hAnsi="Times New Roman"/>
          <w:sz w:val="24"/>
          <w:szCs w:val="24"/>
        </w:rPr>
        <w:t>chemopreventive</w:t>
      </w:r>
      <w:proofErr w:type="spellEnd"/>
      <w:r w:rsidRPr="00EE6787">
        <w:rPr>
          <w:rFonts w:ascii="Times New Roman" w:hAnsi="Times New Roman"/>
          <w:sz w:val="24"/>
          <w:szCs w:val="24"/>
        </w:rPr>
        <w:t xml:space="preserve"> and therapeutic potential of </w:t>
      </w:r>
      <w:r w:rsidRPr="00D75EA2">
        <w:rPr>
          <w:rFonts w:ascii="Times New Roman" w:hAnsi="Times New Roman"/>
          <w:i/>
          <w:sz w:val="24"/>
          <w:szCs w:val="24"/>
        </w:rPr>
        <w:t>Hibiscus sabdariffa</w:t>
      </w:r>
      <w:r w:rsidRPr="00EE6787">
        <w:rPr>
          <w:rFonts w:ascii="Times New Roman" w:hAnsi="Times New Roman"/>
          <w:sz w:val="24"/>
          <w:szCs w:val="24"/>
        </w:rPr>
        <w:t xml:space="preserve"> L. (roselle flower), </w:t>
      </w:r>
      <w:r w:rsidRPr="00D75EA2">
        <w:rPr>
          <w:rFonts w:ascii="Times New Roman" w:hAnsi="Times New Roman"/>
          <w:i/>
          <w:sz w:val="24"/>
          <w:szCs w:val="24"/>
        </w:rPr>
        <w:t xml:space="preserve">Cinnamomum </w:t>
      </w:r>
      <w:proofErr w:type="spellStart"/>
      <w:r w:rsidRPr="00D75EA2">
        <w:rPr>
          <w:rFonts w:ascii="Times New Roman" w:hAnsi="Times New Roman"/>
          <w:i/>
          <w:sz w:val="24"/>
          <w:szCs w:val="24"/>
        </w:rPr>
        <w:t>burmannii</w:t>
      </w:r>
      <w:proofErr w:type="spellEnd"/>
      <w:r w:rsidRPr="00EE6787">
        <w:rPr>
          <w:rFonts w:ascii="Times New Roman" w:hAnsi="Times New Roman"/>
          <w:sz w:val="24"/>
          <w:szCs w:val="24"/>
        </w:rPr>
        <w:t xml:space="preserve"> (cinnamon), and </w:t>
      </w:r>
      <w:r w:rsidRPr="00D75EA2">
        <w:rPr>
          <w:rFonts w:ascii="Times New Roman" w:hAnsi="Times New Roman"/>
          <w:i/>
          <w:sz w:val="24"/>
          <w:szCs w:val="24"/>
        </w:rPr>
        <w:t xml:space="preserve">Cymbopogon </w:t>
      </w:r>
      <w:proofErr w:type="spellStart"/>
      <w:r w:rsidRPr="00D75EA2">
        <w:rPr>
          <w:rFonts w:ascii="Times New Roman" w:hAnsi="Times New Roman"/>
          <w:i/>
          <w:sz w:val="24"/>
          <w:szCs w:val="24"/>
        </w:rPr>
        <w:t>citratus</w:t>
      </w:r>
      <w:proofErr w:type="spellEnd"/>
      <w:r w:rsidRPr="00EE6787">
        <w:rPr>
          <w:rFonts w:ascii="Times New Roman" w:hAnsi="Times New Roman"/>
          <w:sz w:val="24"/>
          <w:szCs w:val="24"/>
        </w:rPr>
        <w:t xml:space="preserve"> (lemongrass). This research aims to evaluate the </w:t>
      </w:r>
      <w:proofErr w:type="spellStart"/>
      <w:r w:rsidRPr="00EE6787">
        <w:rPr>
          <w:rFonts w:ascii="Times New Roman" w:hAnsi="Times New Roman"/>
          <w:sz w:val="24"/>
          <w:szCs w:val="24"/>
        </w:rPr>
        <w:t>chemopreventive</w:t>
      </w:r>
      <w:proofErr w:type="spellEnd"/>
      <w:r w:rsidRPr="00EE6787">
        <w:rPr>
          <w:rFonts w:ascii="Times New Roman" w:hAnsi="Times New Roman"/>
          <w:sz w:val="24"/>
          <w:szCs w:val="24"/>
        </w:rPr>
        <w:t xml:space="preserve"> efficacy of roselle tea enriched with cinnamon and lemongrass oil </w:t>
      </w:r>
      <w:r w:rsidR="009058C8">
        <w:rPr>
          <w:rFonts w:ascii="Times New Roman" w:hAnsi="Times New Roman"/>
          <w:sz w:val="24"/>
          <w:szCs w:val="24"/>
        </w:rPr>
        <w:t>vapor</w:t>
      </w:r>
      <w:r w:rsidRPr="00EE6787">
        <w:rPr>
          <w:rFonts w:ascii="Times New Roman" w:hAnsi="Times New Roman"/>
          <w:sz w:val="24"/>
          <w:szCs w:val="24"/>
        </w:rPr>
        <w:t xml:space="preserve">, formulated using a stirred boiler tank, against T47D breast cancer cells through the MTT assay. The cytotoxicity assays revealed that the roselle herbal tea, supplemented with cinnamon and lemongrass oil </w:t>
      </w:r>
      <w:r w:rsidR="009058C8">
        <w:rPr>
          <w:rFonts w:ascii="Times New Roman" w:hAnsi="Times New Roman"/>
          <w:sz w:val="24"/>
          <w:szCs w:val="24"/>
        </w:rPr>
        <w:t>vapor</w:t>
      </w:r>
      <w:r w:rsidRPr="00EE6787">
        <w:rPr>
          <w:rFonts w:ascii="Times New Roman" w:hAnsi="Times New Roman"/>
          <w:sz w:val="24"/>
          <w:szCs w:val="24"/>
        </w:rPr>
        <w:t>, exhibited enhanced cytotoxic activity against T47D cells compared to roselle tea alone, as indicated by a lower IC</w:t>
      </w:r>
      <w:r w:rsidRPr="00D11696">
        <w:rPr>
          <w:rFonts w:ascii="Times New Roman" w:hAnsi="Times New Roman"/>
          <w:sz w:val="24"/>
          <w:szCs w:val="24"/>
          <w:vertAlign w:val="subscript"/>
        </w:rPr>
        <w:t>50</w:t>
      </w:r>
      <w:r w:rsidRPr="00EE6787">
        <w:rPr>
          <w:rFonts w:ascii="Times New Roman" w:hAnsi="Times New Roman"/>
          <w:sz w:val="24"/>
          <w:szCs w:val="24"/>
        </w:rPr>
        <w:t xml:space="preserve"> value. The formulation containing 5 g of cinnamon and a 15-second exposure to lemongrass oil </w:t>
      </w:r>
      <w:r w:rsidR="00D75EA2">
        <w:rPr>
          <w:rFonts w:ascii="Times New Roman" w:hAnsi="Times New Roman"/>
          <w:sz w:val="24"/>
          <w:szCs w:val="24"/>
          <w:lang w:val="id-ID"/>
        </w:rPr>
        <w:t>vapor</w:t>
      </w:r>
      <w:r w:rsidRPr="00EE6787">
        <w:rPr>
          <w:rFonts w:ascii="Times New Roman" w:hAnsi="Times New Roman"/>
          <w:sz w:val="24"/>
          <w:szCs w:val="24"/>
        </w:rPr>
        <w:t xml:space="preserve"> (F6) demonstrated the highest cytotoxic activity, with an IC</w:t>
      </w:r>
      <w:r w:rsidRPr="00D11696">
        <w:rPr>
          <w:rFonts w:ascii="Times New Roman" w:hAnsi="Times New Roman"/>
          <w:sz w:val="24"/>
          <w:szCs w:val="24"/>
          <w:vertAlign w:val="subscript"/>
        </w:rPr>
        <w:t>50</w:t>
      </w:r>
      <w:r w:rsidRPr="00EE6787">
        <w:rPr>
          <w:rFonts w:ascii="Times New Roman" w:hAnsi="Times New Roman"/>
          <w:sz w:val="24"/>
          <w:szCs w:val="24"/>
        </w:rPr>
        <w:t xml:space="preserve"> value of 730 </w:t>
      </w:r>
      <w:proofErr w:type="spellStart"/>
      <w:r w:rsidRPr="00EE6787">
        <w:rPr>
          <w:rFonts w:ascii="Times New Roman" w:hAnsi="Times New Roman"/>
          <w:sz w:val="24"/>
          <w:szCs w:val="24"/>
        </w:rPr>
        <w:t>μg</w:t>
      </w:r>
      <w:proofErr w:type="spellEnd"/>
      <w:r w:rsidRPr="00EE6787">
        <w:rPr>
          <w:rFonts w:ascii="Times New Roman" w:hAnsi="Times New Roman"/>
          <w:sz w:val="24"/>
          <w:szCs w:val="24"/>
        </w:rPr>
        <w:t>/</w:t>
      </w:r>
      <w:proofErr w:type="spellStart"/>
      <w:r w:rsidRPr="00EE6787">
        <w:rPr>
          <w:rFonts w:ascii="Times New Roman" w:hAnsi="Times New Roman"/>
          <w:sz w:val="24"/>
          <w:szCs w:val="24"/>
        </w:rPr>
        <w:t>mL.</w:t>
      </w:r>
      <w:proofErr w:type="spellEnd"/>
      <w:r w:rsidRPr="00EE6787">
        <w:rPr>
          <w:rFonts w:ascii="Times New Roman" w:hAnsi="Times New Roman"/>
          <w:sz w:val="24"/>
          <w:szCs w:val="24"/>
        </w:rPr>
        <w:t xml:space="preserve"> Conversely, the negative control (F1) exhibited the lowest cytotoxic activity, with an IC</w:t>
      </w:r>
      <w:r w:rsidRPr="00D11696">
        <w:rPr>
          <w:rFonts w:ascii="Times New Roman" w:hAnsi="Times New Roman"/>
          <w:sz w:val="24"/>
          <w:szCs w:val="24"/>
          <w:vertAlign w:val="subscript"/>
        </w:rPr>
        <w:t>50</w:t>
      </w:r>
      <w:r w:rsidRPr="00EE6787">
        <w:rPr>
          <w:rFonts w:ascii="Times New Roman" w:hAnsi="Times New Roman"/>
          <w:sz w:val="24"/>
          <w:szCs w:val="24"/>
        </w:rPr>
        <w:t xml:space="preserve"> value of 2066.6 </w:t>
      </w:r>
      <w:proofErr w:type="spellStart"/>
      <w:r w:rsidRPr="00EE6787">
        <w:rPr>
          <w:rFonts w:ascii="Times New Roman" w:hAnsi="Times New Roman"/>
          <w:sz w:val="24"/>
          <w:szCs w:val="24"/>
        </w:rPr>
        <w:t>μg</w:t>
      </w:r>
      <w:proofErr w:type="spellEnd"/>
      <w:r w:rsidRPr="00EE6787">
        <w:rPr>
          <w:rFonts w:ascii="Times New Roman" w:hAnsi="Times New Roman"/>
          <w:sz w:val="24"/>
          <w:szCs w:val="24"/>
        </w:rPr>
        <w:t>/</w:t>
      </w:r>
      <w:proofErr w:type="spellStart"/>
      <w:r w:rsidRPr="00EE6787">
        <w:rPr>
          <w:rFonts w:ascii="Times New Roman" w:hAnsi="Times New Roman"/>
          <w:sz w:val="24"/>
          <w:szCs w:val="24"/>
        </w:rPr>
        <w:t>mL.</w:t>
      </w:r>
      <w:proofErr w:type="spellEnd"/>
      <w:r w:rsidRPr="00EE6787">
        <w:rPr>
          <w:rFonts w:ascii="Times New Roman" w:hAnsi="Times New Roman"/>
          <w:sz w:val="24"/>
          <w:szCs w:val="24"/>
        </w:rPr>
        <w:t xml:space="preserve"> These findings suggest that the incorporation of cinnamon and lemongrass oils into roselle tea significantly enhances its cytotoxic effects against T47D breast cancer cells, positioning it as a promising </w:t>
      </w:r>
      <w:proofErr w:type="spellStart"/>
      <w:r w:rsidRPr="00EE6787">
        <w:rPr>
          <w:rFonts w:ascii="Times New Roman" w:hAnsi="Times New Roman"/>
          <w:sz w:val="24"/>
          <w:szCs w:val="24"/>
        </w:rPr>
        <w:t>chemopreventive</w:t>
      </w:r>
      <w:proofErr w:type="spellEnd"/>
      <w:r w:rsidRPr="00EE6787">
        <w:rPr>
          <w:rFonts w:ascii="Times New Roman" w:hAnsi="Times New Roman"/>
          <w:sz w:val="24"/>
          <w:szCs w:val="24"/>
        </w:rPr>
        <w:t xml:space="preserve"> agent.</w:t>
      </w:r>
      <w:r w:rsidR="00646AEC" w:rsidRPr="00A04650">
        <w:rPr>
          <w:rFonts w:ascii="Times New Roman" w:hAnsi="Times New Roman"/>
          <w:sz w:val="24"/>
          <w:szCs w:val="24"/>
        </w:rPr>
        <w:t xml:space="preserve"> </w:t>
      </w:r>
    </w:p>
    <w:p w14:paraId="7369A5DE" w14:textId="77777777" w:rsidR="004C6894" w:rsidRDefault="004C6894" w:rsidP="005500A9">
      <w:pPr>
        <w:spacing w:after="0" w:line="480" w:lineRule="auto"/>
        <w:jc w:val="both"/>
        <w:rPr>
          <w:rFonts w:ascii="Times New Roman" w:hAnsi="Times New Roman"/>
          <w:sz w:val="24"/>
          <w:szCs w:val="24"/>
        </w:rPr>
      </w:pPr>
    </w:p>
    <w:p w14:paraId="370D1FE6" w14:textId="77777777" w:rsidR="00BE522B" w:rsidRDefault="00EE6787" w:rsidP="005500A9">
      <w:pPr>
        <w:spacing w:after="0" w:line="240" w:lineRule="auto"/>
        <w:jc w:val="both"/>
        <w:rPr>
          <w:rFonts w:ascii="Times New Roman" w:hAnsi="Times New Roman"/>
          <w:sz w:val="24"/>
          <w:szCs w:val="24"/>
        </w:rPr>
      </w:pPr>
      <w:r>
        <w:rPr>
          <w:rFonts w:ascii="Times New Roman" w:hAnsi="Times New Roman"/>
          <w:b/>
          <w:sz w:val="24"/>
          <w:szCs w:val="24"/>
          <w:lang w:val="id-ID"/>
        </w:rPr>
        <w:t>Keywords</w:t>
      </w:r>
      <w:r w:rsidR="00BE522B">
        <w:rPr>
          <w:rFonts w:ascii="Times New Roman" w:hAnsi="Times New Roman"/>
          <w:sz w:val="24"/>
          <w:szCs w:val="24"/>
        </w:rPr>
        <w:t xml:space="preserve">: </w:t>
      </w:r>
      <w:r w:rsidRPr="00EE6787">
        <w:rPr>
          <w:rFonts w:ascii="Times New Roman" w:hAnsi="Times New Roman"/>
          <w:sz w:val="24"/>
          <w:szCs w:val="24"/>
          <w:lang w:val="id-ID"/>
        </w:rPr>
        <w:t>Rosell</w:t>
      </w:r>
      <w:r>
        <w:rPr>
          <w:rFonts w:ascii="Times New Roman" w:hAnsi="Times New Roman"/>
          <w:sz w:val="24"/>
          <w:szCs w:val="24"/>
          <w:lang w:val="id-ID"/>
        </w:rPr>
        <w:t>e</w:t>
      </w:r>
      <w:r w:rsidRPr="00EE6787">
        <w:rPr>
          <w:rFonts w:ascii="Times New Roman" w:hAnsi="Times New Roman"/>
          <w:sz w:val="24"/>
          <w:szCs w:val="24"/>
          <w:lang w:val="id-ID"/>
        </w:rPr>
        <w:t xml:space="preserve"> Tea, Cinnamon, Lemongrass Oil, Chemopreventive, T47D Cells</w:t>
      </w:r>
      <w:r w:rsidR="00A04650">
        <w:rPr>
          <w:rFonts w:ascii="Times New Roman" w:hAnsi="Times New Roman"/>
          <w:sz w:val="24"/>
          <w:szCs w:val="24"/>
          <w:lang w:val="id-ID"/>
        </w:rPr>
        <w:t>.</w:t>
      </w:r>
    </w:p>
    <w:p w14:paraId="0D8D83EA" w14:textId="77777777" w:rsidR="00887221" w:rsidRPr="00472BF2" w:rsidRDefault="00BE522B" w:rsidP="005500A9">
      <w:pPr>
        <w:tabs>
          <w:tab w:val="left" w:pos="7926"/>
        </w:tabs>
        <w:spacing w:after="0" w:line="480" w:lineRule="auto"/>
        <w:rPr>
          <w:rFonts w:ascii="Times New Roman" w:hAnsi="Times New Roman"/>
          <w:sz w:val="24"/>
          <w:szCs w:val="24"/>
        </w:rPr>
        <w:sectPr w:rsidR="00887221" w:rsidRPr="00472BF2" w:rsidSect="005500A9">
          <w:headerReference w:type="default" r:id="rId9"/>
          <w:footerReference w:type="default" r:id="rId10"/>
          <w:pgSz w:w="11907" w:h="16839" w:code="9"/>
          <w:pgMar w:top="1440" w:right="1440" w:bottom="1440" w:left="1440" w:header="720" w:footer="720" w:gutter="0"/>
          <w:cols w:space="720"/>
          <w:docGrid w:linePitch="360"/>
        </w:sectPr>
      </w:pPr>
      <w:r>
        <w:rPr>
          <w:rFonts w:ascii="Times New Roman" w:hAnsi="Times New Roman"/>
          <w:sz w:val="24"/>
          <w:szCs w:val="24"/>
        </w:rPr>
        <w:br w:type="page"/>
      </w:r>
    </w:p>
    <w:p w14:paraId="090A54D2" w14:textId="77777777" w:rsidR="00BE522B" w:rsidRPr="00286C29" w:rsidRDefault="00D25494" w:rsidP="005500A9">
      <w:pPr>
        <w:spacing w:after="0" w:line="480" w:lineRule="auto"/>
        <w:rPr>
          <w:rFonts w:ascii="Times New Roman" w:hAnsi="Times New Roman"/>
          <w:sz w:val="24"/>
          <w:szCs w:val="24"/>
          <w:lang w:val="id-ID"/>
        </w:rPr>
      </w:pPr>
      <w:r>
        <w:rPr>
          <w:rFonts w:ascii="Times New Roman" w:hAnsi="Times New Roman"/>
          <w:b/>
          <w:sz w:val="24"/>
          <w:szCs w:val="24"/>
          <w:lang w:val="id-ID"/>
        </w:rPr>
        <w:lastRenderedPageBreak/>
        <w:t>INTRODUCTION</w:t>
      </w:r>
    </w:p>
    <w:p w14:paraId="6C64A13A" w14:textId="77777777" w:rsidR="00A04650" w:rsidRPr="00A04650" w:rsidRDefault="00EE6787" w:rsidP="005500A9">
      <w:pPr>
        <w:spacing w:after="0" w:line="480" w:lineRule="auto"/>
        <w:ind w:firstLine="720"/>
        <w:jc w:val="both"/>
        <w:rPr>
          <w:rFonts w:ascii="Times New Roman" w:hAnsi="Times New Roman"/>
          <w:color w:val="0F0F0F"/>
          <w:sz w:val="24"/>
          <w:szCs w:val="24"/>
          <w:shd w:val="clear" w:color="auto" w:fill="FFFFFF"/>
        </w:rPr>
      </w:pPr>
      <w:r w:rsidRPr="00EE6787">
        <w:rPr>
          <w:rFonts w:ascii="Times New Roman" w:hAnsi="Times New Roman"/>
          <w:color w:val="0F0F0F"/>
          <w:sz w:val="24"/>
          <w:szCs w:val="24"/>
          <w:shd w:val="clear" w:color="auto" w:fill="FFFFFF"/>
        </w:rPr>
        <w:t>Cancer remains a primary cause of morbidity and mortality worldwide, constituting a formidable public health challenge. The prevalence of cancer has been exacerbated by rapid population growth and shifting lifestyles, positioning it as the second leading cause of death among non-communicable di</w:t>
      </w:r>
      <w:r w:rsidR="00D11696">
        <w:rPr>
          <w:rFonts w:ascii="Times New Roman" w:hAnsi="Times New Roman"/>
          <w:color w:val="0F0F0F"/>
          <w:sz w:val="24"/>
          <w:szCs w:val="24"/>
          <w:shd w:val="clear" w:color="auto" w:fill="FFFFFF"/>
        </w:rPr>
        <w:t xml:space="preserve">seases globally </w:t>
      </w:r>
      <w:r w:rsidR="00D11696">
        <w:rPr>
          <w:rFonts w:ascii="Times New Roman" w:hAnsi="Times New Roman"/>
          <w:color w:val="0F0F0F"/>
          <w:sz w:val="24"/>
          <w:szCs w:val="24"/>
          <w:shd w:val="clear" w:color="auto" w:fill="FFFFFF"/>
        </w:rPr>
        <w:fldChar w:fldCharType="begin" w:fldLock="1"/>
      </w:r>
      <w:r w:rsidR="00D75EA2">
        <w:rPr>
          <w:rFonts w:ascii="Times New Roman" w:hAnsi="Times New Roman"/>
          <w:color w:val="0F0F0F"/>
          <w:sz w:val="24"/>
          <w:szCs w:val="24"/>
          <w:shd w:val="clear" w:color="auto" w:fill="FFFFFF"/>
        </w:rPr>
        <w:instrText>ADDIN CSL_CITATION {"citationItems":[{"id":"ITEM-1","itemData":{"ISBN":"1833374665","author":[{"dropping-particle":"","family":"Ma","given":"Li","non-dropping-particle":"","parse-names":false,"suffix":""},{"dropping-particle":"","family":"Zhang","given":"Mengmeng","non-dropping-particle":"","parse-names":false,"suffix":""},{"dropping-particle":"","family":"Zhao","given":"Rong","non-dropping-particle":"","parse-names":false,"suffix":""},{"dropping-particle":"","family":"Wang","given":"Dan","non-dropping-particle":"","parse-names":false,"suffix":""},{"dropping-particle":"","family":"Ma","given":"Yuerong","non-dropping-particle":"","parse-names":false,"suffix":""},{"dropping-particle":"","family":"Ai","given":"Li","non-dropping-particle":"","parse-names":false,"suffix":""}],"container-title":"Molecules","id":"ITEM-1","issue":"4","issued":{"date-parts":[["2021"]]},"page":"933","title":"Plant Natural Products : Promising Resources for","type":"article-journal","volume":"26"},"uris":["http://www.mendeley.com/documents/?uuid=48bc1b2f-cb9f-45bd-aee8-6ab035c367c1"]}],"mendeley":{"formattedCitation":"(Ma et al., 2021)","plainTextFormattedCitation":"(Ma et al., 2021)","previouslyFormattedCitation":"(Ma et al., 2021)"},"properties":{"noteIndex":0},"schema":"https://github.com/citation-style-language/schema/raw/master/csl-citation.json"}</w:instrText>
      </w:r>
      <w:r w:rsidR="00D11696">
        <w:rPr>
          <w:rFonts w:ascii="Times New Roman" w:hAnsi="Times New Roman"/>
          <w:color w:val="0F0F0F"/>
          <w:sz w:val="24"/>
          <w:szCs w:val="24"/>
          <w:shd w:val="clear" w:color="auto" w:fill="FFFFFF"/>
        </w:rPr>
        <w:fldChar w:fldCharType="separate"/>
      </w:r>
      <w:r w:rsidR="00D11696" w:rsidRPr="00D11696">
        <w:rPr>
          <w:rFonts w:ascii="Times New Roman" w:hAnsi="Times New Roman"/>
          <w:noProof/>
          <w:color w:val="0F0F0F"/>
          <w:sz w:val="24"/>
          <w:szCs w:val="24"/>
          <w:shd w:val="clear" w:color="auto" w:fill="FFFFFF"/>
        </w:rPr>
        <w:t>(Ma et al., 2021)</w:t>
      </w:r>
      <w:r w:rsidR="00D11696">
        <w:rPr>
          <w:rFonts w:ascii="Times New Roman" w:hAnsi="Times New Roman"/>
          <w:color w:val="0F0F0F"/>
          <w:sz w:val="24"/>
          <w:szCs w:val="24"/>
          <w:shd w:val="clear" w:color="auto" w:fill="FFFFFF"/>
        </w:rPr>
        <w:fldChar w:fldCharType="end"/>
      </w:r>
      <w:r w:rsidRPr="00EE6787">
        <w:rPr>
          <w:rFonts w:ascii="Times New Roman" w:hAnsi="Times New Roman"/>
          <w:color w:val="0F0F0F"/>
          <w:sz w:val="24"/>
          <w:szCs w:val="24"/>
          <w:shd w:val="clear" w:color="auto" w:fill="FFFFFF"/>
        </w:rPr>
        <w:t>. According to the International Agency for Research on Cancer (IARC), a branch of the World Health Organization (WHO), breast cancer is among the most frequently diagnosed cancers, with an incidence rate of 11.7%</w:t>
      </w:r>
      <w:r w:rsidR="00D75EA2">
        <w:rPr>
          <w:rFonts w:ascii="Times New Roman" w:hAnsi="Times New Roman"/>
          <w:color w:val="0F0F0F"/>
          <w:sz w:val="24"/>
          <w:szCs w:val="24"/>
          <w:shd w:val="clear" w:color="auto" w:fill="FFFFFF"/>
          <w:lang w:val="id-ID"/>
        </w:rPr>
        <w:t xml:space="preserve"> </w:t>
      </w:r>
      <w:r w:rsidR="00D75EA2">
        <w:rPr>
          <w:rFonts w:ascii="Times New Roman" w:hAnsi="Times New Roman"/>
          <w:color w:val="0F0F0F"/>
          <w:sz w:val="24"/>
          <w:szCs w:val="24"/>
          <w:shd w:val="clear" w:color="auto" w:fill="FFFFFF"/>
          <w:lang w:val="id-ID"/>
        </w:rPr>
        <w:fldChar w:fldCharType="begin" w:fldLock="1"/>
      </w:r>
      <w:r w:rsidR="00D75EA2">
        <w:rPr>
          <w:rFonts w:ascii="Times New Roman" w:hAnsi="Times New Roman"/>
          <w:color w:val="0F0F0F"/>
          <w:sz w:val="24"/>
          <w:szCs w:val="24"/>
          <w:shd w:val="clear" w:color="auto" w:fill="FFFFFF"/>
          <w:lang w:val="id-ID"/>
        </w:rPr>
        <w:instrText>ADDIN CSL_CITATION {"citationItems":[{"id":"ITEM-1","itemData":{"DOI":"10.3322/caac.21660","ISSN":"0007-9235","PMID":"33538338","abstract":"This article provides an update on the global cancer burden using the GLOBOCAN 2020 estimates of cancer incidence and mortality produced by the International Agency for Research on Cancer. Worldwide, an estimated 19.3 million new cancer cases (18.1 million excluding nonmelanoma skin cancer) and almost 10.0 million cancer deaths (9.9 million excluding nonmelanoma skin cancer) occurred in 2020. Female breast cancer has surpassed lung cancer as the most commonly diagnosed cancer, with an estimated 2.3 million new cases (11.7%), followed by lung (11.4%), colorectal (10.0 %), prostate (7.3%), and stomach (5.6%) cancers. Lung cancer remained the leading cause of cancer death, with an estimated 1.8 million deaths (18%), followed by colorectal (9.4%), liver (8.3%), stomach (7.7%), and female breast (6.9%) cancers. Overall incidence was from 2‐fold to 3‐fold higher in transitioned versus transitioning countries for both sexes, whereas mortality varied &lt;2‐fold for men and little for women. Death rates for female breast and cervical cancers, however, were considerably higher in transitioning versus transitioned countries (15.0 vs 12.8 per 100,000 and 12.4 vs 5.2 per 100,000, respectively). The global cancer burden is expected to be 28.4 million cases in 2040, a 47% rise from 2020, with a larger increase in transitioning (64% to 95%) versus transitioned (32% to 56%) countries due to demographic changes, although this may be further exacerbated by increasing risk factors associated with globalization and a growing economy. Efforts to build a sustainable infrastructure for the dissemination of cancer prevention measures and provision of cancer care in transitioning countries is critical for global cancer control.","author":[{"dropping-particle":"","family":"Sung","given":"Hyuna","non-dropping-particle":"","parse-names":false,"suffix":""},{"dropping-particle":"","family":"Ferlay","given":"Jacques","non-dropping-particle":"","parse-names":false,"suffix":""},{"dropping-particle":"","family":"Siegel","given":"Rebecca L.","non-dropping-particle":"","parse-names":false,"suffix":""},{"dropping-particle":"","family":"Laversanne","given":"Mathieu","non-dropping-particle":"","parse-names":false,"suffix":""},{"dropping-particle":"","family":"Soerjomataram","given":"Isabelle","non-dropping-particle":"","parse-names":false,"suffix":""},{"dropping-particle":"","family":"Jemal","given":"Ahmedin","non-dropping-particle":"","parse-names":false,"suffix":""},{"dropping-particle":"","family":"Bray","given":"Freddie","non-dropping-particle":"","parse-names":false,"suffix":""}],"container-title":"CA: A Cancer Journal for Clinicians","id":"ITEM-1","issue":"3","issued":{"date-parts":[["2021"]]},"page":"209-249","title":"Global Cancer Statistics 2020: GLOBOCAN Estimates of Incidence and Mortality Worldwide for 36 Cancers in 185 Countries","type":"article-journal","volume":"71"},"uris":["http://www.mendeley.com/documents/?uuid=1a0f0854-d34b-4389-982b-d632d5eee866"]}],"mendeley":{"formattedCitation":"(Sung et al., 2021)","plainTextFormattedCitation":"(Sung et al., 2021)","previouslyFormattedCitation":"(Sung et al., 2021)"},"properties":{"noteIndex":0},"schema":"https://github.com/citation-style-language/schema/raw/master/csl-citation.json"}</w:instrText>
      </w:r>
      <w:r w:rsidR="00D75EA2">
        <w:rPr>
          <w:rFonts w:ascii="Times New Roman" w:hAnsi="Times New Roman"/>
          <w:color w:val="0F0F0F"/>
          <w:sz w:val="24"/>
          <w:szCs w:val="24"/>
          <w:shd w:val="clear" w:color="auto" w:fill="FFFFFF"/>
          <w:lang w:val="id-ID"/>
        </w:rPr>
        <w:fldChar w:fldCharType="separate"/>
      </w:r>
      <w:r w:rsidR="00D75EA2" w:rsidRPr="00D75EA2">
        <w:rPr>
          <w:rFonts w:ascii="Times New Roman" w:hAnsi="Times New Roman"/>
          <w:noProof/>
          <w:color w:val="0F0F0F"/>
          <w:sz w:val="24"/>
          <w:szCs w:val="24"/>
          <w:shd w:val="clear" w:color="auto" w:fill="FFFFFF"/>
          <w:lang w:val="id-ID"/>
        </w:rPr>
        <w:t>(Sung et al., 2021)</w:t>
      </w:r>
      <w:r w:rsidR="00D75EA2">
        <w:rPr>
          <w:rFonts w:ascii="Times New Roman" w:hAnsi="Times New Roman"/>
          <w:color w:val="0F0F0F"/>
          <w:sz w:val="24"/>
          <w:szCs w:val="24"/>
          <w:shd w:val="clear" w:color="auto" w:fill="FFFFFF"/>
          <w:lang w:val="id-ID"/>
        </w:rPr>
        <w:fldChar w:fldCharType="end"/>
      </w:r>
      <w:r w:rsidRPr="00EE6787">
        <w:rPr>
          <w:rFonts w:ascii="Times New Roman" w:hAnsi="Times New Roman"/>
          <w:color w:val="0F0F0F"/>
          <w:sz w:val="24"/>
          <w:szCs w:val="24"/>
          <w:shd w:val="clear" w:color="auto" w:fill="FFFFFF"/>
        </w:rPr>
        <w:t>. The urgent demand for effective cancer treatment strategies has catalyzed a burgeoning interest in approaches based on natural products. Chemoprevention, which involves the use of natural or synthetic agents to prevent cancer development, aims to halt, delay, or reverse carcinogenesis, thereby presenting a promising strategy to reduce cancer incidence</w:t>
      </w:r>
      <w:r w:rsidR="00D75EA2">
        <w:rPr>
          <w:rFonts w:ascii="Times New Roman" w:hAnsi="Times New Roman"/>
          <w:color w:val="0F0F0F"/>
          <w:sz w:val="24"/>
          <w:szCs w:val="24"/>
          <w:shd w:val="clear" w:color="auto" w:fill="FFFFFF"/>
          <w:lang w:val="id-ID"/>
        </w:rPr>
        <w:t xml:space="preserve"> </w:t>
      </w:r>
      <w:r w:rsidR="00D75EA2">
        <w:rPr>
          <w:rFonts w:ascii="Times New Roman" w:hAnsi="Times New Roman"/>
          <w:color w:val="0F0F0F"/>
          <w:sz w:val="24"/>
          <w:szCs w:val="24"/>
          <w:shd w:val="clear" w:color="auto" w:fill="FFFFFF"/>
          <w:lang w:val="id-ID"/>
        </w:rPr>
        <w:fldChar w:fldCharType="begin" w:fldLock="1"/>
      </w:r>
      <w:r w:rsidR="00D75EA2">
        <w:rPr>
          <w:rFonts w:ascii="Times New Roman" w:hAnsi="Times New Roman"/>
          <w:color w:val="0F0F0F"/>
          <w:sz w:val="24"/>
          <w:szCs w:val="24"/>
          <w:shd w:val="clear" w:color="auto" w:fill="FFFFFF"/>
          <w:lang w:val="id-ID"/>
        </w:rPr>
        <w:instrText>ADDIN CSL_CITATION {"citationItems":[{"id":"ITEM-1","itemData":{"DOI":"10.3389/fphar.2021.809308","ISSN":"16639812","abstract":"Cancer chemoprevention approaches are aimed at preventing, delaying, or suppressing tumor incidence using synthetic or natural bioactive agents. Mechanistically, chemopreventive agents also aid in mitigating cancer development, either by impeding DNA damage or by blocking the division of premalignant cells with DNA damage. Several pre-clinical studies have substantiated the benefits of using various dietary components as chemopreventives in cancer therapy. The incessant rise in the number of cancer cases globally is an issue of major concern. The excessive toxicity and chemoresistance associated with conventional chemotherapies decrease the success rates of the existent chemotherapeutic regimen, which warrants the need for an efficient and safer alternative therapeutic approach. In this scenario, chemopreventive agents have been proven to be successful in protecting the high-risk populations from cancer, which further validates chemoprevention strategy as rational and promising. Clinical studies have shown the effectiveness of this approach in managing cancers of different origins. Phytochemicals, which constitute an appreciable proportion of currently used chemotherapeutic drugs, have been tested for their chemopreventive efficacy. This review primarily aims to highlight the efficacy of phytochemicals, currently being investigated globally as chemopreventives. The clinical relevance of chemoprevention, with special emphasis on the phytochemicals, curcumin, resveratrol, tryptanthrin, kaempferol, gingerol, emodin, quercetin genistein and epigallocatechingallate, which are potential candidates due to their ability to regulate multiple survival pathways without inducing toxicity, forms the crux of this review. The majority of these phytochemicals are polyphenols and flavanoids. We have analyzed how the key molecular targets of these chemopreventives potentially counteract the key drivers of chemoresistance, causing minimum toxicity to the body. An overview of the underlying mechanism of action of these phytochemicals in regulating the key players of cancer progression and tumor suppression is discussed in this review. A summary of the clinical trials on the important phytochemicals that emerge as chemopreventives is also incorporated. We elaborate on the pre-clinical and clinical observations, pharmacokinetics, mechanism of action, and molecular targets of some of these natural products. To summarize, the scope of this review comprises of the current statu…","author":[{"dropping-particle":"","family":"Shankar","given":"Mohan","non-dropping-particle":"","parse-names":false,"suffix":""},{"dropping-particle":"","family":"Swetha","given":"Mundanattu","non-dropping-particle":"","parse-names":false,"suffix":""},{"dropping-particle":"","family":"Keerthana","given":"C. K.","non-dropping-particle":"","parse-names":false,"suffix":""},{"dropping-particle":"","family":"Rayginia","given":"Tennyson P.","non-dropping-particle":"","parse-names":false,"suffix":""},{"dropping-particle":"","family":"Anto","given":"Ruby John","non-dropping-particle":"","parse-names":false,"suffix":""}],"container-title":"Frontiers in Pharmacology","id":"ITEM-1","issue":"January","issued":{"date-parts":[["2022"]]},"page":"1-25","title":"Cancer Chemoprevention: A Strategic Approach Using Phytochemicals","type":"article-journal","volume":"12"},"uris":["http://www.mendeley.com/documents/?uuid=404d1307-e180-4895-822b-923882c3b849"]}],"mendeley":{"formattedCitation":"(Shankar et al., 2022)","plainTextFormattedCitation":"(Shankar et al., 2022)","previouslyFormattedCitation":"(Shankar et al., 2022)"},"properties":{"noteIndex":0},"schema":"https://github.com/citation-style-language/schema/raw/master/csl-citation.json"}</w:instrText>
      </w:r>
      <w:r w:rsidR="00D75EA2">
        <w:rPr>
          <w:rFonts w:ascii="Times New Roman" w:hAnsi="Times New Roman"/>
          <w:color w:val="0F0F0F"/>
          <w:sz w:val="24"/>
          <w:szCs w:val="24"/>
          <w:shd w:val="clear" w:color="auto" w:fill="FFFFFF"/>
          <w:lang w:val="id-ID"/>
        </w:rPr>
        <w:fldChar w:fldCharType="separate"/>
      </w:r>
      <w:r w:rsidR="00D75EA2" w:rsidRPr="00D75EA2">
        <w:rPr>
          <w:rFonts w:ascii="Times New Roman" w:hAnsi="Times New Roman"/>
          <w:noProof/>
          <w:color w:val="0F0F0F"/>
          <w:sz w:val="24"/>
          <w:szCs w:val="24"/>
          <w:shd w:val="clear" w:color="auto" w:fill="FFFFFF"/>
          <w:lang w:val="id-ID"/>
        </w:rPr>
        <w:t>(Shankar et al., 2022)</w:t>
      </w:r>
      <w:r w:rsidR="00D75EA2">
        <w:rPr>
          <w:rFonts w:ascii="Times New Roman" w:hAnsi="Times New Roman"/>
          <w:color w:val="0F0F0F"/>
          <w:sz w:val="24"/>
          <w:szCs w:val="24"/>
          <w:shd w:val="clear" w:color="auto" w:fill="FFFFFF"/>
          <w:lang w:val="id-ID"/>
        </w:rPr>
        <w:fldChar w:fldCharType="end"/>
      </w:r>
      <w:r w:rsidRPr="00EE6787">
        <w:rPr>
          <w:rFonts w:ascii="Times New Roman" w:hAnsi="Times New Roman"/>
          <w:color w:val="0F0F0F"/>
          <w:sz w:val="24"/>
          <w:szCs w:val="24"/>
          <w:shd w:val="clear" w:color="auto" w:fill="FFFFFF"/>
        </w:rPr>
        <w:t>. Natural products, particularly those derived from plants, have demonstrated significant potential in chemoprevention due to their bioactive compounds with anticarcinogenic properties</w:t>
      </w:r>
      <w:r w:rsidR="00D75EA2">
        <w:rPr>
          <w:rFonts w:ascii="Times New Roman" w:hAnsi="Times New Roman"/>
          <w:color w:val="0F0F0F"/>
          <w:sz w:val="24"/>
          <w:szCs w:val="24"/>
          <w:shd w:val="clear" w:color="auto" w:fill="FFFFFF"/>
          <w:lang w:val="id-ID"/>
        </w:rPr>
        <w:t xml:space="preserve"> </w:t>
      </w:r>
      <w:r w:rsidR="00D75EA2">
        <w:rPr>
          <w:rFonts w:ascii="Times New Roman" w:hAnsi="Times New Roman"/>
          <w:color w:val="0F0F0F"/>
          <w:sz w:val="24"/>
          <w:szCs w:val="24"/>
          <w:shd w:val="clear" w:color="auto" w:fill="FFFFFF"/>
          <w:lang w:val="id-ID"/>
        </w:rPr>
        <w:fldChar w:fldCharType="begin" w:fldLock="1"/>
      </w:r>
      <w:r w:rsidR="00D75EA2">
        <w:rPr>
          <w:rFonts w:ascii="Times New Roman" w:hAnsi="Times New Roman"/>
          <w:color w:val="0F0F0F"/>
          <w:sz w:val="24"/>
          <w:szCs w:val="24"/>
          <w:shd w:val="clear" w:color="auto" w:fill="FFFFFF"/>
          <w:lang w:val="id-ID"/>
        </w:rPr>
        <w:instrText>ADDIN CSL_CITATION {"citationItems":[{"id":"ITEM-1","itemData":{"DOI":"10.1016/j.ejca.2021.03.009","ISSN":"18790852","PMID":"33865202","abstract":"Cancer is the second deadliest disease worldwide. Although recent advances applying precision treatments with targeted (molecular and immune) agents are promising, the histological and molecular heterogeneity of cancer cells and huge mutational burdens (intrinsic or acquired after therapy) leading to drug resistance and treatment failure are posing continuous challenges. These recent advances do not negate the need for alternative approaches such as chemoprevention, the pharmacological approach to reverse, suppress or prevent the initial phases of carcinogenesis or the progression of premalignant cells to invasive disease by using non-toxic agents. Although data are limited, the success of several clinical trials in preventing cancer in high-risk populations suggests that chemoprevention is a rational, appealing and viable strategy to prevent carcinogenesis. Particularly among higher-risk groups, the use of safe, non-toxic agents is the utmost consideration because these individuals have not yet developed invasive disease. Natural dietary compounds present in fruits, vegetables and spices are especially attractive for chemoprevention and treatment because of their easy availability, high margin of safety, relatively low cost and widespread human consumption. Hundreds of such compounds have been widely investigated for chemoprevention and treatment in the last few decades. Previously, we reviewed the most widely studied natural compounds and their molecular mechanisms, which were highly exploited by the cancer research community. In the time since our initial review, many promising new compounds have been identified. In this review, we critically review these promising new natural compounds, their molecular targets and mechanisms of anticancer activity that may create novel opportunities for further design and conduct of preclinical and clinical studies.","author":[{"dropping-particle":"","family":"Haque","given":"Abedul","non-dropping-particle":"","parse-names":false,"suffix":""},{"dropping-particle":"","family":"Brazeau","given":"Daniel","non-dropping-particle":"","parse-names":false,"suffix":""},{"dropping-particle":"","family":"Amin","given":"Arm R.","non-dropping-particle":"","parse-names":false,"suffix":""}],"container-title":"European Journal of Cancer","id":"ITEM-1","issue":"1","issued":{"date-parts":[["2021"]]},"page":"165-183","publisher":"Elsevier Ltd","title":"Perspectives on natural compounds in chemoprevention and treatment of cancer: an update with new promising compounds","type":"article-journal","volume":"149"},"uris":["http://www.mendeley.com/documents/?uuid=12dd4581-9428-41c4-8db7-20e473c89836"]}],"mendeley":{"formattedCitation":"(Haque et al., 2021)","plainTextFormattedCitation":"(Haque et al., 2021)","previouslyFormattedCitation":"(Haque et al., 2021)"},"properties":{"noteIndex":0},"schema":"https://github.com/citation-style-language/schema/raw/master/csl-citation.json"}</w:instrText>
      </w:r>
      <w:r w:rsidR="00D75EA2">
        <w:rPr>
          <w:rFonts w:ascii="Times New Roman" w:hAnsi="Times New Roman"/>
          <w:color w:val="0F0F0F"/>
          <w:sz w:val="24"/>
          <w:szCs w:val="24"/>
          <w:shd w:val="clear" w:color="auto" w:fill="FFFFFF"/>
          <w:lang w:val="id-ID"/>
        </w:rPr>
        <w:fldChar w:fldCharType="separate"/>
      </w:r>
      <w:r w:rsidR="00D75EA2" w:rsidRPr="00D75EA2">
        <w:rPr>
          <w:rFonts w:ascii="Times New Roman" w:hAnsi="Times New Roman"/>
          <w:noProof/>
          <w:color w:val="0F0F0F"/>
          <w:sz w:val="24"/>
          <w:szCs w:val="24"/>
          <w:shd w:val="clear" w:color="auto" w:fill="FFFFFF"/>
          <w:lang w:val="id-ID"/>
        </w:rPr>
        <w:t>(Haque et al., 2021)</w:t>
      </w:r>
      <w:r w:rsidR="00D75EA2">
        <w:rPr>
          <w:rFonts w:ascii="Times New Roman" w:hAnsi="Times New Roman"/>
          <w:color w:val="0F0F0F"/>
          <w:sz w:val="24"/>
          <w:szCs w:val="24"/>
          <w:shd w:val="clear" w:color="auto" w:fill="FFFFFF"/>
          <w:lang w:val="id-ID"/>
        </w:rPr>
        <w:fldChar w:fldCharType="end"/>
      </w:r>
      <w:r w:rsidRPr="00EE6787">
        <w:rPr>
          <w:rFonts w:ascii="Times New Roman" w:hAnsi="Times New Roman"/>
          <w:color w:val="0F0F0F"/>
          <w:sz w:val="24"/>
          <w:szCs w:val="24"/>
          <w:shd w:val="clear" w:color="auto" w:fill="FFFFFF"/>
        </w:rPr>
        <w:t>. Roselle tea (</w:t>
      </w:r>
      <w:r w:rsidRPr="00D75EA2">
        <w:rPr>
          <w:rFonts w:ascii="Times New Roman" w:hAnsi="Times New Roman"/>
          <w:i/>
          <w:color w:val="0F0F0F"/>
          <w:sz w:val="24"/>
          <w:szCs w:val="24"/>
          <w:shd w:val="clear" w:color="auto" w:fill="FFFFFF"/>
        </w:rPr>
        <w:t>Hibiscus sabdariffa</w:t>
      </w:r>
      <w:r w:rsidR="00D75EA2">
        <w:rPr>
          <w:rFonts w:ascii="Times New Roman" w:hAnsi="Times New Roman"/>
          <w:color w:val="0F0F0F"/>
          <w:sz w:val="24"/>
          <w:szCs w:val="24"/>
          <w:shd w:val="clear" w:color="auto" w:fill="FFFFFF"/>
          <w:lang w:val="id-ID"/>
        </w:rPr>
        <w:t xml:space="preserve"> L.</w:t>
      </w:r>
      <w:r w:rsidRPr="00EE6787">
        <w:rPr>
          <w:rFonts w:ascii="Times New Roman" w:hAnsi="Times New Roman"/>
          <w:color w:val="0F0F0F"/>
          <w:sz w:val="24"/>
          <w:szCs w:val="24"/>
          <w:shd w:val="clear" w:color="auto" w:fill="FFFFFF"/>
        </w:rPr>
        <w:t xml:space="preserve">), derived from the petals of the roselle flower, is one such natural ingredient investigated for its </w:t>
      </w:r>
      <w:proofErr w:type="spellStart"/>
      <w:r w:rsidRPr="00EE6787">
        <w:rPr>
          <w:rFonts w:ascii="Times New Roman" w:hAnsi="Times New Roman"/>
          <w:color w:val="0F0F0F"/>
          <w:sz w:val="24"/>
          <w:szCs w:val="24"/>
          <w:shd w:val="clear" w:color="auto" w:fill="FFFFFF"/>
        </w:rPr>
        <w:t>chemopreventive</w:t>
      </w:r>
      <w:proofErr w:type="spellEnd"/>
      <w:r w:rsidRPr="00EE6787">
        <w:rPr>
          <w:rFonts w:ascii="Times New Roman" w:hAnsi="Times New Roman"/>
          <w:color w:val="0F0F0F"/>
          <w:sz w:val="24"/>
          <w:szCs w:val="24"/>
          <w:shd w:val="clear" w:color="auto" w:fill="FFFFFF"/>
        </w:rPr>
        <w:t xml:space="preserve"> properties. Rich in polyphenols, flavonoids, and anthocyanins, roselle tea is recognized for its antioxidant </w:t>
      </w:r>
      <w:r w:rsidR="00D75EA2">
        <w:rPr>
          <w:rFonts w:ascii="Times New Roman" w:hAnsi="Times New Roman"/>
          <w:color w:val="0F0F0F"/>
          <w:sz w:val="24"/>
          <w:szCs w:val="24"/>
          <w:shd w:val="clear" w:color="auto" w:fill="FFFFFF"/>
        </w:rPr>
        <w:fldChar w:fldCharType="begin" w:fldLock="1"/>
      </w:r>
      <w:r w:rsidR="00D75EA2">
        <w:rPr>
          <w:rFonts w:ascii="Times New Roman" w:hAnsi="Times New Roman"/>
          <w:color w:val="0F0F0F"/>
          <w:sz w:val="24"/>
          <w:szCs w:val="24"/>
          <w:shd w:val="clear" w:color="auto" w:fill="FFFFFF"/>
        </w:rPr>
        <w:instrText>ADDIN CSL_CITATION {"citationItems":[{"id":"ITEM-1","itemData":{"DOI":"10.3390/polym15071740","ISSN":"20734360","abstract":"The interest in natural sources with high antioxidant powder has recently increased in several sectors. Ionic gelation methods could be used to protect bioactive substances to control the kinetics and release of these ingredients to the food matrix. This study dealt with the evaluation of the antioxidant capacity and scavenging activity of extracts of Hibiscus Sabdariffa L. (HSL) (with 50% ethanol) encapsulated in calcium alginate spheres as a new source for preserving food against oxidative damage. Their antioxidant activity was measured in different o/w emulsions in which HSL spheres reduced the formation of hydroperoxides (~80%) and thiobarbituric-acid-reactive substance products (~20%). The scavenging activity of HSL extracts was measured in different food simulants (water, water acidified with 3% acetic acid, ethanol at 50%, and pure ethanol), and corresponded to 0.20–0.43, 0.31–0.62, and 11.13–23.82 mmol Trolox/mL extract for Trolox equivalent antioxidant capacity (TEAC), 2,2-diphenylpicrylhydrazyl (DPPH), and oxygen radical absorbance capacity (ORAC) assays, respectively. In general, the best antiradical activity was observed in the ethanolic and acidified mediums, in which the highest concentration of released polyphenols ranged from 0.068 to 0.079 mg GAE/mL. This work indicates the potential of alginate spheres for encapsulating antioxidant compounds as an innovative strategy for several industrial applications.","author":[{"dropping-particle":"","family":"Bevan","given":"Pascal","non-dropping-particle":"","parse-names":false,"suffix":""},{"dropping-particle":"","family":"Pastor","given":"Maria Vicenta","non-dropping-particle":"","parse-names":false,"suffix":""},{"dropping-particle":"","family":"Almajano","given":"María Pilar","non-dropping-particle":"","parse-names":false,"suffix":""},{"dropping-particle":"","family":"Codina-Torrella","given":"Idoia","non-dropping-particle":"","parse-names":false,"suffix":""}],"container-title":"Polymers","id":"ITEM-1","issue":"7","issued":{"date-parts":[["2023"]]},"page":"1-19","title":"Antioxidant and Antiradical Activities of Hibiscus sabdariffa L. Extracts Encapsulated in Calcium Alginate Spheres","type":"article-journal","volume":"15"},"uris":["http://www.mendeley.com/documents/?uuid=dbb76e23-0da8-4d82-9b33-409b2192757e"]},{"id":"ITEM-2","itemData":{"DOI":"10.1016/j.bcab.2024.103189","ISSN":"18788181","abstract":"Nowadays, consumers' preference for low-alcoholic beverages with health-promoting bioactive constituents is rapidly increasing. Thus, there is an increasing search for bioactive ingredients to enhance the nutritional values and related health benefits of beverages such as mead. Hibiscus sabdariffa (HS) and Betula pendula (Birch sap) are plant materials rich in bioactive constituents that offer beneficial functions, including antioxidant and anti-inflammatory properties. Therefore, the study aimed to use HS and birch sap to produce a low-alcohol mead with improved bioactive constituents, sensory qualities, and antioxidant activity. Before fermentation (20 ± 1 °C, 21 days), honey-must (25%) was supplemented with HS brew (8, 19, 22, or 25%). The findings showed that the addition of HS extract had no negative effect on fermentation dynamics, as evidenced by a general decline in extract (%Brix) and simultaneous release of alcohol in both the control and HS-supplemented meads. HS meads had significantly lower alcohol content (3.22 ± 0.04–5.58 ± 0.04) than control meads (36.32 ± 0.04–7.17 ± 0.04). Also, the addition of HS and birch sap enhanced the bioactive elements and antioxidant activity of HS mead compared to the control meads. HS mead (HSC) had the highest (p &lt; 0.05) total phenolic content (134.38 ± 0.83 mg QAE/L), total flavonoid content (117.88 ± 0.150 mg RE/L), and 2,2-Diphenyl-1-picrylhydrazyl antioxidant activity (65.83 ± 0.62%) among all the samples studied. Mead augmented with 1.8 L (HSC) was generally preferred by sensory panellists with an overall acceptability score of 7.67 ± 0.77. The results suggest that the addition of birch sap and HS will not change the fermentation kinetics but will improve the bioactive constituents and health-promoting benefits of the mead.","author":[{"dropping-particle":"","family":"Essiedu","given":"Justice Amakye","non-dropping-particle":"","parse-names":false,"suffix":""},{"dropping-particle":"","family":"Kovaleva","given":"Elena G.","non-dropping-particle":"","parse-names":false,"suffix":""}],"container-title":"Biocatalysis and Agricultural Biotechnology","id":"ITEM-2","issue":"April","issued":{"date-parts":[["2024"]]},"page":"103189","publisher":"Elsevier Ltd","title":"Physicochemical, antioxidant activity, and sensory characteristics of mead produced with Hibiscus sabdariffa and Betula pendula (Birch sap)","type":"article-journal","volume":"58"},"uris":["http://www.mendeley.com/documents/?uuid=137f5efd-546f-4d9d-8e36-4ed9e3958cb5"]}],"mendeley":{"formattedCitation":"(Bevan et al., 2023; Essiedu &amp; Kovaleva, 2024)","plainTextFormattedCitation":"(Bevan et al., 2023; Essiedu &amp; Kovaleva, 2024)","previouslyFormattedCitation":"(Bevan et al., 2023; Essiedu &amp; Kovaleva, 2024)"},"properties":{"noteIndex":0},"schema":"https://github.com/citation-style-language/schema/raw/master/csl-citation.json"}</w:instrText>
      </w:r>
      <w:r w:rsidR="00D75EA2">
        <w:rPr>
          <w:rFonts w:ascii="Times New Roman" w:hAnsi="Times New Roman"/>
          <w:color w:val="0F0F0F"/>
          <w:sz w:val="24"/>
          <w:szCs w:val="24"/>
          <w:shd w:val="clear" w:color="auto" w:fill="FFFFFF"/>
        </w:rPr>
        <w:fldChar w:fldCharType="separate"/>
      </w:r>
      <w:r w:rsidR="00D75EA2" w:rsidRPr="00D75EA2">
        <w:rPr>
          <w:rFonts w:ascii="Times New Roman" w:hAnsi="Times New Roman"/>
          <w:noProof/>
          <w:color w:val="0F0F0F"/>
          <w:sz w:val="24"/>
          <w:szCs w:val="24"/>
          <w:shd w:val="clear" w:color="auto" w:fill="FFFFFF"/>
        </w:rPr>
        <w:t>(Bevan et al., 2023; Essiedu &amp; Kovaleva, 2024)</w:t>
      </w:r>
      <w:r w:rsidR="00D75EA2">
        <w:rPr>
          <w:rFonts w:ascii="Times New Roman" w:hAnsi="Times New Roman"/>
          <w:color w:val="0F0F0F"/>
          <w:sz w:val="24"/>
          <w:szCs w:val="24"/>
          <w:shd w:val="clear" w:color="auto" w:fill="FFFFFF"/>
        </w:rPr>
        <w:fldChar w:fldCharType="end"/>
      </w:r>
      <w:r w:rsidRPr="00EE6787">
        <w:rPr>
          <w:rFonts w:ascii="Times New Roman" w:hAnsi="Times New Roman"/>
          <w:color w:val="0F0F0F"/>
          <w:sz w:val="24"/>
          <w:szCs w:val="24"/>
          <w:shd w:val="clear" w:color="auto" w:fill="FFFFFF"/>
        </w:rPr>
        <w:t xml:space="preserve">, anti-inflammatory </w:t>
      </w:r>
      <w:r w:rsidR="00D75EA2">
        <w:rPr>
          <w:rFonts w:ascii="Times New Roman" w:hAnsi="Times New Roman"/>
          <w:color w:val="0F0F0F"/>
          <w:sz w:val="24"/>
          <w:szCs w:val="24"/>
          <w:shd w:val="clear" w:color="auto" w:fill="FFFFFF"/>
        </w:rPr>
        <w:fldChar w:fldCharType="begin" w:fldLock="1"/>
      </w:r>
      <w:r w:rsidR="00D75EA2">
        <w:rPr>
          <w:rFonts w:ascii="Times New Roman" w:hAnsi="Times New Roman"/>
          <w:color w:val="0F0F0F"/>
          <w:sz w:val="24"/>
          <w:szCs w:val="24"/>
          <w:shd w:val="clear" w:color="auto" w:fill="FFFFFF"/>
        </w:rPr>
        <w:instrText>ADDIN CSL_CITATION {"citationItems":[{"id":"ITEM-1","itemData":{"ISSN":"18830498","PMID":"30381729","abstract":"Overtraining leads to an increase in IL-1β systemically due to muscle microtrauma, which affects the hippocampus, an important structure in spatial memory consolidation. The administration of Hibiscus sabdariffa Linn is expected to decrease IL-1β and increase IL-1ra, thereby potentially preventing impairments in spatial memory consolidation. This research was an experimental study using 20 male Wistar rats. The overtraining of Wistar rats altered the ratio of IL-1β/IL-1ra in the plasma and hippocampus. Moreover, this overtraining impaired spatial memory consolidation. The methanol extract of H. sabdariffa improved spatial memory consolidation in Wistar rats and prevented impairment in spatial memory consolidation by maintaining the ratio of IL-1β/IL-1ra in the plasma and hippocampus of Wistar rats who experienced overtraining. H. sabdariffa is a potent anti-inflammatory substance that prevents impairments in spatial memory consolidation in overtrained Wistar rats.","author":[{"dropping-particle":"El","family":"Bayani","given":"Gulshan Fahmi","non-dropping-particle":"","parse-names":false,"suffix":""},{"dropping-particle":"","family":"Marpaung","given":"Nurasi Lidya E.","non-dropping-particle":"","parse-names":false,"suffix":""},{"dropping-particle":"","family":"Simorangkir","given":"Dedy Arnold Sastrajaya","non-dropping-particle":"","parse-names":false,"suffix":""},{"dropping-particle":"","family":"Sianipar","given":"Imelda Rosalyn","non-dropping-particle":"","parse-names":false,"suffix":""},{"dropping-particle":"","family":"Ibrahim","given":"Nurhadi","non-dropping-particle":"","parse-names":false,"suffix":""},{"dropping-particle":"","family":"Kartinah","given":"Neng Tine","non-dropping-particle":"","parse-names":false,"suffix":""},{"dropping-particle":"","family":"Mansur","given":"Indra Gusti","non-dropping-particle":"","parse-names":false,"suffix":""},{"dropping-particle":"","family":"Purba","given":"Jan S.","non-dropping-particle":"","parse-names":false,"suffix":""},{"dropping-particle":"","family":"Ilyas","given":"Ermita I.Ibrahim","non-dropping-particle":"","parse-names":false,"suffix":""}],"container-title":"The Kobe journal of medical sciences","id":"ITEM-1","issue":"2","issued":{"date-parts":[["2018"]]},"page":"73-83","title":"Anti-inflammatory Effects of Hibiscus Sabdariffa Linn. on the IL-1β/IL-1ra Ratio in Plasma and Hippocampus of Overtrained Rats and Correlation with Spatial Memory","type":"article-journal","volume":"64"},"uris":["http://www.mendeley.com/documents/?uuid=9a8b696f-e69d-42b6-8e73-198219e43729"]}],"mendeley":{"formattedCitation":"(Bayani et al., 2018)","plainTextFormattedCitation":"(Bayani et al., 2018)","previouslyFormattedCitation":"(Bayani et al., 2018)"},"properties":{"noteIndex":0},"schema":"https://github.com/citation-style-language/schema/raw/master/csl-citation.json"}</w:instrText>
      </w:r>
      <w:r w:rsidR="00D75EA2">
        <w:rPr>
          <w:rFonts w:ascii="Times New Roman" w:hAnsi="Times New Roman"/>
          <w:color w:val="0F0F0F"/>
          <w:sz w:val="24"/>
          <w:szCs w:val="24"/>
          <w:shd w:val="clear" w:color="auto" w:fill="FFFFFF"/>
        </w:rPr>
        <w:fldChar w:fldCharType="separate"/>
      </w:r>
      <w:r w:rsidR="00D75EA2" w:rsidRPr="00D75EA2">
        <w:rPr>
          <w:rFonts w:ascii="Times New Roman" w:hAnsi="Times New Roman"/>
          <w:noProof/>
          <w:color w:val="0F0F0F"/>
          <w:sz w:val="24"/>
          <w:szCs w:val="24"/>
          <w:shd w:val="clear" w:color="auto" w:fill="FFFFFF"/>
        </w:rPr>
        <w:t>(Bayani et al., 2018)</w:t>
      </w:r>
      <w:r w:rsidR="00D75EA2">
        <w:rPr>
          <w:rFonts w:ascii="Times New Roman" w:hAnsi="Times New Roman"/>
          <w:color w:val="0F0F0F"/>
          <w:sz w:val="24"/>
          <w:szCs w:val="24"/>
          <w:shd w:val="clear" w:color="auto" w:fill="FFFFFF"/>
        </w:rPr>
        <w:fldChar w:fldCharType="end"/>
      </w:r>
      <w:r w:rsidRPr="00EE6787">
        <w:rPr>
          <w:rFonts w:ascii="Times New Roman" w:hAnsi="Times New Roman"/>
          <w:color w:val="0F0F0F"/>
          <w:sz w:val="24"/>
          <w:szCs w:val="24"/>
          <w:shd w:val="clear" w:color="auto" w:fill="FFFFFF"/>
        </w:rPr>
        <w:t>, and anticancer activities</w:t>
      </w:r>
      <w:r w:rsidR="00D75EA2">
        <w:rPr>
          <w:rFonts w:ascii="Times New Roman" w:hAnsi="Times New Roman"/>
          <w:color w:val="0F0F0F"/>
          <w:sz w:val="24"/>
          <w:szCs w:val="24"/>
          <w:shd w:val="clear" w:color="auto" w:fill="FFFFFF"/>
          <w:lang w:val="id-ID"/>
        </w:rPr>
        <w:t xml:space="preserve"> </w:t>
      </w:r>
      <w:r w:rsidR="00D75EA2">
        <w:rPr>
          <w:rFonts w:ascii="Times New Roman" w:hAnsi="Times New Roman"/>
          <w:color w:val="0F0F0F"/>
          <w:sz w:val="24"/>
          <w:szCs w:val="24"/>
          <w:shd w:val="clear" w:color="auto" w:fill="FFFFFF"/>
          <w:lang w:val="id-ID"/>
        </w:rPr>
        <w:fldChar w:fldCharType="begin" w:fldLock="1"/>
      </w:r>
      <w:r w:rsidR="00D75EA2">
        <w:rPr>
          <w:rFonts w:ascii="Times New Roman" w:hAnsi="Times New Roman"/>
          <w:color w:val="0F0F0F"/>
          <w:sz w:val="24"/>
          <w:szCs w:val="24"/>
          <w:shd w:val="clear" w:color="auto" w:fill="FFFFFF"/>
          <w:lang w:val="id-ID"/>
        </w:rPr>
        <w:instrText>ADDIN CSL_CITATION {"citationItems":[{"id":"ITEM-1","itemData":{"DOI":"10.15430/jcp.2023.28.3.77","ISSN":"2288-3649","abstract":"A category of diseases known as cancer includes abnormal cell development and the  ability to infiltrate or spread to other regions of the body, making them a major cause of mortality worldwide. Chemotherapy, radiation, the use of cytotoxic medicines, and surgery are the mainstays of cancer treatment today. Plants or products produced from them hold promise as a source of anti-cancer medications that have fewer adverse effects. Due to the presence of numerous phytochemicals that have been isolated from various parts of the Hibiscus sabdariffa (HS) plant, including anthocyanin, flavonoids, saponins, tannins, polyphenols, organic acids, caffeic acids, citric acids, protocatechuic acid, and others, extracts of this plant have been reported to have anti-cancer effects. These compounds have been shown to reduce cancer cell proliferation, induce apoptosis, and cause cell cycle arrest. They also increase the expression levels of the cell cycle inhibitors (p53, p21, and p27) and the pro-apoptotic proteins (BAD, Bax, caspase 3, caspase 7, caspase 8, and caspase 9). This review highlights various intracellular signalling pathways involved in cancer preventive potential of HS.","author":[{"dropping-particle":"","family":"Yasmin","given":"Raihana","non-dropping-particle":"","parse-names":false,"suffix":""},{"dropping-particle":"","family":"Gogoi","given":"Sangeeta","non-dropping-particle":"","parse-names":false,"suffix":""},{"dropping-particle":"","family":"Bora","given":"Jumi","non-dropping-particle":"","parse-names":false,"suffix":""},{"dropping-particle":"","family":"Chakraborty","given":"Arijit","non-dropping-particle":"","parse-names":false,"suffix":""},{"dropping-particle":"","family":"Dey","given":"Susmita","non-dropping-particle":"","parse-names":false,"suffix":""},{"dropping-particle":"","family":"Ghaziri","given":"Ghazal","non-dropping-particle":"","parse-names":false,"suffix":""},{"dropping-particle":"","family":"Bhattacharjee","given":"Surajit","non-dropping-particle":"","parse-names":false,"suffix":""},{"dropping-particle":"","family":"Singh","given":"Laishram Hemchandra","non-dropping-particle":"","parse-names":false,"suffix":""}],"container-title":"Journal of Cancer Prevention","id":"ITEM-1","issue":"3","issued":{"date-parts":[["2023","9","30"]]},"page":"77-92","publisher":"Korean Society of Cancer Prevention","title":" Novel Insight into the Cellular and Molecular Signalling Pathways on Cancer Preventing Effects of Hibiscus sabdariffa : A Review ","type":"article-journal","volume":"28"},"uris":["http://www.mendeley.com/documents/?uuid=bb7c41c5-951c-39de-8ca6-8e2706dc685b"]}],"mendeley":{"formattedCitation":"(Yasmin et al., 2023)","plainTextFormattedCitation":"(Yasmin et al., 2023)","previouslyFormattedCitation":"(Yasmin et al., 2023)"},"properties":{"noteIndex":0},"schema":"https://github.com/citation-style-language/schema/raw/master/csl-citation.json"}</w:instrText>
      </w:r>
      <w:r w:rsidR="00D75EA2">
        <w:rPr>
          <w:rFonts w:ascii="Times New Roman" w:hAnsi="Times New Roman"/>
          <w:color w:val="0F0F0F"/>
          <w:sz w:val="24"/>
          <w:szCs w:val="24"/>
          <w:shd w:val="clear" w:color="auto" w:fill="FFFFFF"/>
          <w:lang w:val="id-ID"/>
        </w:rPr>
        <w:fldChar w:fldCharType="separate"/>
      </w:r>
      <w:r w:rsidR="00D75EA2" w:rsidRPr="00D75EA2">
        <w:rPr>
          <w:rFonts w:ascii="Times New Roman" w:hAnsi="Times New Roman"/>
          <w:noProof/>
          <w:color w:val="0F0F0F"/>
          <w:sz w:val="24"/>
          <w:szCs w:val="24"/>
          <w:shd w:val="clear" w:color="auto" w:fill="FFFFFF"/>
          <w:lang w:val="id-ID"/>
        </w:rPr>
        <w:t>(Yasmin et al., 2023)</w:t>
      </w:r>
      <w:r w:rsidR="00D75EA2">
        <w:rPr>
          <w:rFonts w:ascii="Times New Roman" w:hAnsi="Times New Roman"/>
          <w:color w:val="0F0F0F"/>
          <w:sz w:val="24"/>
          <w:szCs w:val="24"/>
          <w:shd w:val="clear" w:color="auto" w:fill="FFFFFF"/>
          <w:lang w:val="id-ID"/>
        </w:rPr>
        <w:fldChar w:fldCharType="end"/>
      </w:r>
      <w:r w:rsidRPr="00EE6787">
        <w:rPr>
          <w:rFonts w:ascii="Times New Roman" w:hAnsi="Times New Roman"/>
          <w:color w:val="0F0F0F"/>
          <w:sz w:val="24"/>
          <w:szCs w:val="24"/>
          <w:shd w:val="clear" w:color="auto" w:fill="FFFFFF"/>
        </w:rPr>
        <w:t>.</w:t>
      </w:r>
    </w:p>
    <w:p w14:paraId="6B8A1CF6" w14:textId="77777777" w:rsidR="000C6493" w:rsidRPr="00BE418C" w:rsidRDefault="00BE418C" w:rsidP="005500A9">
      <w:pPr>
        <w:spacing w:after="0" w:line="480" w:lineRule="auto"/>
        <w:ind w:firstLine="720"/>
        <w:jc w:val="both"/>
        <w:rPr>
          <w:rFonts w:ascii="Times New Roman" w:hAnsi="Times New Roman"/>
          <w:color w:val="0F0F0F"/>
          <w:sz w:val="24"/>
          <w:szCs w:val="24"/>
          <w:shd w:val="clear" w:color="auto" w:fill="FFFFFF"/>
        </w:rPr>
      </w:pPr>
      <w:r w:rsidRPr="00BE418C">
        <w:rPr>
          <w:rFonts w:ascii="Times New Roman" w:hAnsi="Times New Roman"/>
          <w:color w:val="0F0F0F"/>
          <w:sz w:val="24"/>
          <w:szCs w:val="24"/>
          <w:shd w:val="clear" w:color="auto" w:fill="FFFFFF"/>
        </w:rPr>
        <w:t xml:space="preserve">Previous research has demonstrated the potential of rosella (Hibiscus sabdariffa) flowers in inhibiting the proliferation of various cancer cell lines, including breast cancer cells. Notably, a study by </w:t>
      </w:r>
      <w:r w:rsidR="00D75EA2">
        <w:rPr>
          <w:rFonts w:ascii="Times New Roman" w:hAnsi="Times New Roman"/>
          <w:color w:val="0F0F0F"/>
          <w:sz w:val="24"/>
          <w:szCs w:val="24"/>
          <w:shd w:val="clear" w:color="auto" w:fill="FFFFFF"/>
        </w:rPr>
        <w:fldChar w:fldCharType="begin" w:fldLock="1"/>
      </w:r>
      <w:r w:rsidR="00D75EA2">
        <w:rPr>
          <w:rFonts w:ascii="Times New Roman" w:hAnsi="Times New Roman"/>
          <w:color w:val="0F0F0F"/>
          <w:sz w:val="24"/>
          <w:szCs w:val="24"/>
          <w:shd w:val="clear" w:color="auto" w:fill="FFFFFF"/>
        </w:rPr>
        <w:instrText>ADDIN CSL_CITATION {"citationItems":[{"id":"ITEM-1","itemData":{"abstract":"Breast cancer is ranked the highest percentage of the new cases and deaths in women around the world. Cancer treatments that currently exist cause side effects that are detrimental to patients triggering the development of cancer treatment that comes from nature or herbal plants. Roselle (Hibiscus sabdariffa L.) is a plant that is known to have flavonoids which are potential as anticancer agent. This study was conducted to analyze the roselle's hexane fraction as a chemopreventive agent with an antioxidant test using the DPPH method, in-vitro cytotoxic test of T47D cancer cells line by MTT method, and in-silico test using Vina molecular docking method. The results of the antioxidant test showed the IC50 value of 4259 µg/mL. Cytotoxic activity of the fraction on T47D breast cancer cells showed the IC50 values of 331.86 µg/ml. The molecular docking results obtained a docking score that shows the binding energy of cyanidin 3-O-glucoside to EGFR and HER-2 proteins of-8.2 kcal/mol and 8.1 kcal/mol, respectively. Based on these results, it can be concluded that roselle hexane fraction has a potential as a chemopreventive agent based on its molecular docking and cytotoxic activity against T47D breast cancer cells.","author":[{"dropping-particle":"","family":"Kaulika","given":"Nabila","non-dropping-particle":"","parse-names":false,"suffix":""},{"dropping-particle":"","family":"Febriansah","given":"Rifki","non-dropping-particle":"","parse-names":false,"suffix":""}],"container-title":"Advances in Health Sciences Research","id":"ITEM-1","issue":"1","issued":{"date-parts":[["2019"]]},"page":"66-71","title":"Chemopreventive Activity of Roselle's Hexane Fraction against Breast Cancer by In-Vitro and In-Silico Study","type":"article-journal","volume":"15"},"uris":["http://www.mendeley.com/documents/?uuid=e44de15e-0358-3708-9993-fcd407ac6127"]}],"mendeley":{"formattedCitation":"(Kaulika &amp; Febriansah, 2019)","manualFormatting":"Kaulika &amp; Febriansah, (2019)","plainTextFormattedCitation":"(Kaulika &amp; Febriansah, 2019)","previouslyFormattedCitation":"(Kaulika &amp; Febriansah, 2019)"},"properties":{"noteIndex":0},"schema":"https://github.com/citation-style-language/schema/raw/master/csl-citation.json"}</w:instrText>
      </w:r>
      <w:r w:rsidR="00D75EA2">
        <w:rPr>
          <w:rFonts w:ascii="Times New Roman" w:hAnsi="Times New Roman"/>
          <w:color w:val="0F0F0F"/>
          <w:sz w:val="24"/>
          <w:szCs w:val="24"/>
          <w:shd w:val="clear" w:color="auto" w:fill="FFFFFF"/>
        </w:rPr>
        <w:fldChar w:fldCharType="separate"/>
      </w:r>
      <w:r w:rsidR="00D75EA2" w:rsidRPr="00D75EA2">
        <w:rPr>
          <w:rFonts w:ascii="Times New Roman" w:hAnsi="Times New Roman"/>
          <w:noProof/>
          <w:color w:val="0F0F0F"/>
          <w:sz w:val="24"/>
          <w:szCs w:val="24"/>
          <w:shd w:val="clear" w:color="auto" w:fill="FFFFFF"/>
        </w:rPr>
        <w:t xml:space="preserve">Kaulika &amp; Febriansah, </w:t>
      </w:r>
      <w:r w:rsidR="00D75EA2">
        <w:rPr>
          <w:rFonts w:ascii="Times New Roman" w:hAnsi="Times New Roman"/>
          <w:noProof/>
          <w:color w:val="0F0F0F"/>
          <w:sz w:val="24"/>
          <w:szCs w:val="24"/>
          <w:shd w:val="clear" w:color="auto" w:fill="FFFFFF"/>
          <w:lang w:val="id-ID"/>
        </w:rPr>
        <w:t>(</w:t>
      </w:r>
      <w:r w:rsidR="00D75EA2" w:rsidRPr="00D75EA2">
        <w:rPr>
          <w:rFonts w:ascii="Times New Roman" w:hAnsi="Times New Roman"/>
          <w:noProof/>
          <w:color w:val="0F0F0F"/>
          <w:sz w:val="24"/>
          <w:szCs w:val="24"/>
          <w:shd w:val="clear" w:color="auto" w:fill="FFFFFF"/>
        </w:rPr>
        <w:t>2019)</w:t>
      </w:r>
      <w:r w:rsidR="00D75EA2">
        <w:rPr>
          <w:rFonts w:ascii="Times New Roman" w:hAnsi="Times New Roman"/>
          <w:color w:val="0F0F0F"/>
          <w:sz w:val="24"/>
          <w:szCs w:val="24"/>
          <w:shd w:val="clear" w:color="auto" w:fill="FFFFFF"/>
        </w:rPr>
        <w:fldChar w:fldCharType="end"/>
      </w:r>
      <w:r w:rsidR="00D75EA2">
        <w:rPr>
          <w:rFonts w:ascii="Times New Roman" w:hAnsi="Times New Roman"/>
          <w:color w:val="0F0F0F"/>
          <w:sz w:val="24"/>
          <w:szCs w:val="24"/>
          <w:shd w:val="clear" w:color="auto" w:fill="FFFFFF"/>
          <w:lang w:val="id-ID"/>
        </w:rPr>
        <w:t xml:space="preserve"> </w:t>
      </w:r>
      <w:r w:rsidRPr="00BE418C">
        <w:rPr>
          <w:rFonts w:ascii="Times New Roman" w:hAnsi="Times New Roman"/>
          <w:color w:val="0F0F0F"/>
          <w:sz w:val="24"/>
          <w:szCs w:val="24"/>
          <w:shd w:val="clear" w:color="auto" w:fill="FFFFFF"/>
        </w:rPr>
        <w:t xml:space="preserve">identified anthocyanins in rosella flower petals as promising </w:t>
      </w:r>
      <w:proofErr w:type="spellStart"/>
      <w:r w:rsidRPr="00BE418C">
        <w:rPr>
          <w:rFonts w:ascii="Times New Roman" w:hAnsi="Times New Roman"/>
          <w:color w:val="0F0F0F"/>
          <w:sz w:val="24"/>
          <w:szCs w:val="24"/>
          <w:shd w:val="clear" w:color="auto" w:fill="FFFFFF"/>
        </w:rPr>
        <w:t>chemopreventive</w:t>
      </w:r>
      <w:proofErr w:type="spellEnd"/>
      <w:r w:rsidRPr="00BE418C">
        <w:rPr>
          <w:rFonts w:ascii="Times New Roman" w:hAnsi="Times New Roman"/>
          <w:color w:val="0F0F0F"/>
          <w:sz w:val="24"/>
          <w:szCs w:val="24"/>
          <w:shd w:val="clear" w:color="auto" w:fill="FFFFFF"/>
        </w:rPr>
        <w:t xml:space="preserve"> agents against T47D breast cancer cells. However, the </w:t>
      </w:r>
      <w:proofErr w:type="spellStart"/>
      <w:r w:rsidRPr="00BE418C">
        <w:rPr>
          <w:rFonts w:ascii="Times New Roman" w:hAnsi="Times New Roman"/>
          <w:color w:val="0F0F0F"/>
          <w:sz w:val="24"/>
          <w:szCs w:val="24"/>
          <w:shd w:val="clear" w:color="auto" w:fill="FFFFFF"/>
        </w:rPr>
        <w:t>chemopreventive</w:t>
      </w:r>
      <w:proofErr w:type="spellEnd"/>
      <w:r w:rsidRPr="00BE418C">
        <w:rPr>
          <w:rFonts w:ascii="Times New Roman" w:hAnsi="Times New Roman"/>
          <w:color w:val="0F0F0F"/>
          <w:sz w:val="24"/>
          <w:szCs w:val="24"/>
          <w:shd w:val="clear" w:color="auto" w:fill="FFFFFF"/>
        </w:rPr>
        <w:t xml:space="preserve"> efficacy of rosella tea against T47D breast cancer cells remains suboptimal, necessitating further enhancement. To augment the </w:t>
      </w:r>
      <w:proofErr w:type="spellStart"/>
      <w:r w:rsidRPr="00BE418C">
        <w:rPr>
          <w:rFonts w:ascii="Times New Roman" w:hAnsi="Times New Roman"/>
          <w:color w:val="0F0F0F"/>
          <w:sz w:val="24"/>
          <w:szCs w:val="24"/>
          <w:shd w:val="clear" w:color="auto" w:fill="FFFFFF"/>
        </w:rPr>
        <w:t>chemopreventive</w:t>
      </w:r>
      <w:proofErr w:type="spellEnd"/>
      <w:r w:rsidRPr="00BE418C">
        <w:rPr>
          <w:rFonts w:ascii="Times New Roman" w:hAnsi="Times New Roman"/>
          <w:color w:val="0F0F0F"/>
          <w:sz w:val="24"/>
          <w:szCs w:val="24"/>
          <w:shd w:val="clear" w:color="auto" w:fill="FFFFFF"/>
        </w:rPr>
        <w:t xml:space="preserve"> activity of rosella tea, the incorporation of bioactive compounds from additional nat</w:t>
      </w:r>
      <w:r>
        <w:rPr>
          <w:rFonts w:ascii="Times New Roman" w:hAnsi="Times New Roman"/>
          <w:color w:val="0F0F0F"/>
          <w:sz w:val="24"/>
          <w:szCs w:val="24"/>
          <w:shd w:val="clear" w:color="auto" w:fill="FFFFFF"/>
        </w:rPr>
        <w:t>ural sources is being explored.</w:t>
      </w:r>
      <w:r>
        <w:rPr>
          <w:rFonts w:ascii="Times New Roman" w:hAnsi="Times New Roman"/>
          <w:color w:val="0F0F0F"/>
          <w:sz w:val="24"/>
          <w:szCs w:val="24"/>
          <w:shd w:val="clear" w:color="auto" w:fill="FFFFFF"/>
          <w:lang w:val="id-ID"/>
        </w:rPr>
        <w:t xml:space="preserve"> </w:t>
      </w:r>
      <w:r w:rsidRPr="00BE418C">
        <w:rPr>
          <w:rFonts w:ascii="Times New Roman" w:hAnsi="Times New Roman"/>
          <w:color w:val="0F0F0F"/>
          <w:sz w:val="24"/>
          <w:szCs w:val="24"/>
          <w:shd w:val="clear" w:color="auto" w:fill="FFFFFF"/>
        </w:rPr>
        <w:lastRenderedPageBreak/>
        <w:t>Cinnamon (</w:t>
      </w:r>
      <w:r w:rsidRPr="00D75EA2">
        <w:rPr>
          <w:rFonts w:ascii="Times New Roman" w:hAnsi="Times New Roman"/>
          <w:i/>
          <w:color w:val="0F0F0F"/>
          <w:sz w:val="24"/>
          <w:szCs w:val="24"/>
          <w:shd w:val="clear" w:color="auto" w:fill="FFFFFF"/>
        </w:rPr>
        <w:t xml:space="preserve">Cinnamomum </w:t>
      </w:r>
      <w:proofErr w:type="spellStart"/>
      <w:r w:rsidRPr="00D75EA2">
        <w:rPr>
          <w:rFonts w:ascii="Times New Roman" w:hAnsi="Times New Roman"/>
          <w:i/>
          <w:color w:val="0F0F0F"/>
          <w:sz w:val="24"/>
          <w:szCs w:val="24"/>
          <w:shd w:val="clear" w:color="auto" w:fill="FFFFFF"/>
        </w:rPr>
        <w:t>burmannii</w:t>
      </w:r>
      <w:proofErr w:type="spellEnd"/>
      <w:r w:rsidRPr="00BE418C">
        <w:rPr>
          <w:rFonts w:ascii="Times New Roman" w:hAnsi="Times New Roman"/>
          <w:color w:val="0F0F0F"/>
          <w:sz w:val="24"/>
          <w:szCs w:val="24"/>
          <w:shd w:val="clear" w:color="auto" w:fill="FFFFFF"/>
        </w:rPr>
        <w:t>) and lemongrass (</w:t>
      </w:r>
      <w:r w:rsidRPr="00D75EA2">
        <w:rPr>
          <w:rFonts w:ascii="Times New Roman" w:hAnsi="Times New Roman"/>
          <w:i/>
          <w:color w:val="0F0F0F"/>
          <w:sz w:val="24"/>
          <w:szCs w:val="24"/>
          <w:shd w:val="clear" w:color="auto" w:fill="FFFFFF"/>
        </w:rPr>
        <w:t xml:space="preserve">Cymbopogon </w:t>
      </w:r>
      <w:proofErr w:type="spellStart"/>
      <w:r w:rsidRPr="00D75EA2">
        <w:rPr>
          <w:rFonts w:ascii="Times New Roman" w:hAnsi="Times New Roman"/>
          <w:i/>
          <w:color w:val="0F0F0F"/>
          <w:sz w:val="24"/>
          <w:szCs w:val="24"/>
          <w:shd w:val="clear" w:color="auto" w:fill="FFFFFF"/>
        </w:rPr>
        <w:t>citratus</w:t>
      </w:r>
      <w:proofErr w:type="spellEnd"/>
      <w:r w:rsidRPr="00BE418C">
        <w:rPr>
          <w:rFonts w:ascii="Times New Roman" w:hAnsi="Times New Roman"/>
          <w:color w:val="0F0F0F"/>
          <w:sz w:val="24"/>
          <w:szCs w:val="24"/>
          <w:shd w:val="clear" w:color="auto" w:fill="FFFFFF"/>
        </w:rPr>
        <w:t xml:space="preserve">) are renowned for their potent anticancer properties. Cinnamon, rich in cinnamaldehyde and other polyphenolic compounds, alongside lemongrass oil, abundant in </w:t>
      </w:r>
      <w:proofErr w:type="spellStart"/>
      <w:r w:rsidRPr="00BE418C">
        <w:rPr>
          <w:rFonts w:ascii="Times New Roman" w:hAnsi="Times New Roman"/>
          <w:color w:val="0F0F0F"/>
          <w:sz w:val="24"/>
          <w:szCs w:val="24"/>
          <w:shd w:val="clear" w:color="auto" w:fill="FFFFFF"/>
        </w:rPr>
        <w:t>citral</w:t>
      </w:r>
      <w:proofErr w:type="spellEnd"/>
      <w:r w:rsidRPr="00BE418C">
        <w:rPr>
          <w:rFonts w:ascii="Times New Roman" w:hAnsi="Times New Roman"/>
          <w:color w:val="0F0F0F"/>
          <w:sz w:val="24"/>
          <w:szCs w:val="24"/>
          <w:shd w:val="clear" w:color="auto" w:fill="FFFFFF"/>
        </w:rPr>
        <w:t xml:space="preserve"> and other terpenes, exhibit robust antioxidant, anti-inflammatory, and cytotoxic activities. These compounds have been shown to induce apoptosis, inhibit cell proliferation, and arrest the cell cycle in cance</w:t>
      </w:r>
      <w:r>
        <w:rPr>
          <w:rFonts w:ascii="Times New Roman" w:hAnsi="Times New Roman"/>
          <w:color w:val="0F0F0F"/>
          <w:sz w:val="24"/>
          <w:szCs w:val="24"/>
          <w:shd w:val="clear" w:color="auto" w:fill="FFFFFF"/>
        </w:rPr>
        <w:t>r cells</w:t>
      </w:r>
      <w:r w:rsidR="00D75EA2">
        <w:rPr>
          <w:rFonts w:ascii="Times New Roman" w:hAnsi="Times New Roman"/>
          <w:color w:val="0F0F0F"/>
          <w:sz w:val="24"/>
          <w:szCs w:val="24"/>
          <w:shd w:val="clear" w:color="auto" w:fill="FFFFFF"/>
          <w:lang w:val="id-ID"/>
        </w:rPr>
        <w:t xml:space="preserve"> </w:t>
      </w:r>
      <w:r w:rsidR="00D75EA2">
        <w:rPr>
          <w:rFonts w:ascii="Times New Roman" w:hAnsi="Times New Roman"/>
          <w:color w:val="0F0F0F"/>
          <w:sz w:val="24"/>
          <w:szCs w:val="24"/>
          <w:shd w:val="clear" w:color="auto" w:fill="FFFFFF"/>
          <w:lang w:val="id-ID"/>
        </w:rPr>
        <w:fldChar w:fldCharType="begin" w:fldLock="1"/>
      </w:r>
      <w:r w:rsidR="00D75EA2">
        <w:rPr>
          <w:rFonts w:ascii="Times New Roman" w:hAnsi="Times New Roman"/>
          <w:color w:val="0F0F0F"/>
          <w:sz w:val="24"/>
          <w:szCs w:val="24"/>
          <w:shd w:val="clear" w:color="auto" w:fill="FFFFFF"/>
          <w:lang w:val="id-ID"/>
        </w:rPr>
        <w:instrText>ADDIN CSL_CITATION {"citationItems":[{"id":"ITEM-1","itemData":{"DOI":"10.1016/j.biopha.2021.112514","ISSN":"19506007","PMID":"34963087","abstract":"Cancer retains a central place in fatality rates among the wide variety of diseases known world over, and the conventional synthetic medicaments, albeit used until now, produce numerous side effects. As a result, newer, better, and safer alternatives such as natural plant products, are gravely required. Essential oils (EOs) offer a plethora of bioactivities including antibacterial, antiviral, antioxidant, and anticancer properties, therefore, the use of EOs in combination with synthetic drugs or aromatherapy continues to be popular in many settings. In view of the paramount importance of EOs and their potential bioactivities, this review summarizes the current knowledge on the interconnection between EOs and cancer treatment. In particular, the current review presents an updated summary of the chemical composition of EOs, their current applications in cancer treatments based on clinical studies, and the mechanism of action against the cancer cell lines. Similarly, an overview of using EOs in aromatherapy and enhancing immunity during cancer treatment is provided. Further, this review focuses on the recent technological advancements such as the loading of EOs using protein microspheres, ligands, or nanoemulsions/nanoencapsulation, which offer multiple benefits in cancer treatment via site-specific and target-oriented delivery of drugs. The continuing clinical studies of EOs implicate that their pharmacological applications are a rewarding research area.","author":[{"dropping-particle":"","family":"Sharma","given":"Mansi","non-dropping-particle":"","parse-names":false,"suffix":""},{"dropping-particle":"","family":"Grewal","given":"Kamaljit","non-dropping-particle":"","parse-names":false,"suffix":""},{"dropping-particle":"","family":"Jandrotia","given":"Rupali","non-dropping-particle":"","parse-names":false,"suffix":""},{"dropping-particle":"","family":"Batish","given":"Daizy Rani","non-dropping-particle":"","parse-names":false,"suffix":""},{"dropping-particle":"","family":"Singh","given":"Harminder Pal","non-dropping-particle":"","parse-names":false,"suffix":""},{"dropping-particle":"","family":"Kohli","given":"Ravinder Kumar","non-dropping-particle":"","parse-names":false,"suffix":""}],"container-title":"Biomedicine and Pharmacotherapy","id":"ITEM-1","issue":"1","issued":{"date-parts":[["2022"]]},"page":"1-36","publisher":"Elsevier Masson SAS","title":"Essential oils as anticancer agents: Potential role in malignancies, drug delivery mechanisms, and immune system enhancement","type":"article-journal","volume":"146"},"uris":["http://www.mendeley.com/documents/?uuid=ad15f65b-1897-4ebc-a27c-fe63c2f84592"]}],"mendeley":{"formattedCitation":"(Sharma et al., 2022)","plainTextFormattedCitation":"(Sharma et al., 2022)","previouslyFormattedCitation":"(Sharma et al., 2022)"},"properties":{"noteIndex":0},"schema":"https://github.com/citation-style-language/schema/raw/master/csl-citation.json"}</w:instrText>
      </w:r>
      <w:r w:rsidR="00D75EA2">
        <w:rPr>
          <w:rFonts w:ascii="Times New Roman" w:hAnsi="Times New Roman"/>
          <w:color w:val="0F0F0F"/>
          <w:sz w:val="24"/>
          <w:szCs w:val="24"/>
          <w:shd w:val="clear" w:color="auto" w:fill="FFFFFF"/>
          <w:lang w:val="id-ID"/>
        </w:rPr>
        <w:fldChar w:fldCharType="separate"/>
      </w:r>
      <w:r w:rsidR="00D75EA2" w:rsidRPr="00D75EA2">
        <w:rPr>
          <w:rFonts w:ascii="Times New Roman" w:hAnsi="Times New Roman"/>
          <w:noProof/>
          <w:color w:val="0F0F0F"/>
          <w:sz w:val="24"/>
          <w:szCs w:val="24"/>
          <w:shd w:val="clear" w:color="auto" w:fill="FFFFFF"/>
          <w:lang w:val="id-ID"/>
        </w:rPr>
        <w:t>(Sharma et al., 2022)</w:t>
      </w:r>
      <w:r w:rsidR="00D75EA2">
        <w:rPr>
          <w:rFonts w:ascii="Times New Roman" w:hAnsi="Times New Roman"/>
          <w:color w:val="0F0F0F"/>
          <w:sz w:val="24"/>
          <w:szCs w:val="24"/>
          <w:shd w:val="clear" w:color="auto" w:fill="FFFFFF"/>
          <w:lang w:val="id-ID"/>
        </w:rPr>
        <w:fldChar w:fldCharType="end"/>
      </w:r>
      <w:r>
        <w:rPr>
          <w:rFonts w:ascii="Times New Roman" w:hAnsi="Times New Roman"/>
          <w:color w:val="0F0F0F"/>
          <w:sz w:val="24"/>
          <w:szCs w:val="24"/>
          <w:shd w:val="clear" w:color="auto" w:fill="FFFFFF"/>
        </w:rPr>
        <w:t xml:space="preserve">. </w:t>
      </w:r>
      <w:r w:rsidRPr="00BE418C">
        <w:rPr>
          <w:rFonts w:ascii="Times New Roman" w:hAnsi="Times New Roman"/>
          <w:color w:val="0F0F0F"/>
          <w:sz w:val="24"/>
          <w:szCs w:val="24"/>
          <w:shd w:val="clear" w:color="auto" w:fill="FFFFFF"/>
        </w:rPr>
        <w:t xml:space="preserve">This study aims to evaluate the enhanced efficacy of rosella tea combined with cinnamon and lemongrass oils in inhibiting the growth of T47D breast cancer cells compared to rosella tea alone. The findings are anticipated to provide valuable insights into the development of more effective natural-based </w:t>
      </w:r>
      <w:proofErr w:type="spellStart"/>
      <w:r w:rsidRPr="00BE418C">
        <w:rPr>
          <w:rFonts w:ascii="Times New Roman" w:hAnsi="Times New Roman"/>
          <w:color w:val="0F0F0F"/>
          <w:sz w:val="24"/>
          <w:szCs w:val="24"/>
          <w:shd w:val="clear" w:color="auto" w:fill="FFFFFF"/>
        </w:rPr>
        <w:t>chemopreventive</w:t>
      </w:r>
      <w:proofErr w:type="spellEnd"/>
      <w:r w:rsidRPr="00BE418C">
        <w:rPr>
          <w:rFonts w:ascii="Times New Roman" w:hAnsi="Times New Roman"/>
          <w:color w:val="0F0F0F"/>
          <w:sz w:val="24"/>
          <w:szCs w:val="24"/>
          <w:shd w:val="clear" w:color="auto" w:fill="FFFFFF"/>
        </w:rPr>
        <w:t xml:space="preserve"> agents for breast cancer.</w:t>
      </w:r>
    </w:p>
    <w:p w14:paraId="2C8602FA" w14:textId="77777777" w:rsidR="00BE522B" w:rsidRPr="00E2733B" w:rsidRDefault="00BE522B" w:rsidP="005500A9">
      <w:pPr>
        <w:spacing w:after="0" w:line="480" w:lineRule="auto"/>
        <w:jc w:val="both"/>
        <w:rPr>
          <w:rFonts w:ascii="Times New Roman" w:hAnsi="Times New Roman"/>
          <w:sz w:val="24"/>
          <w:szCs w:val="24"/>
          <w:lang w:val="id-ID"/>
        </w:rPr>
      </w:pPr>
    </w:p>
    <w:p w14:paraId="2C2D032B" w14:textId="77777777" w:rsidR="00BE522B" w:rsidRPr="00286C29" w:rsidRDefault="00D25494" w:rsidP="005500A9">
      <w:pPr>
        <w:spacing w:after="0" w:line="480" w:lineRule="auto"/>
        <w:jc w:val="both"/>
        <w:rPr>
          <w:rFonts w:ascii="Times New Roman" w:hAnsi="Times New Roman"/>
          <w:b/>
          <w:sz w:val="24"/>
          <w:szCs w:val="24"/>
          <w:lang w:val="id-ID"/>
        </w:rPr>
      </w:pPr>
      <w:r>
        <w:rPr>
          <w:rFonts w:ascii="Times New Roman" w:hAnsi="Times New Roman"/>
          <w:b/>
          <w:sz w:val="24"/>
          <w:szCs w:val="24"/>
          <w:lang w:val="id-ID"/>
        </w:rPr>
        <w:t>METHOD</w:t>
      </w:r>
    </w:p>
    <w:p w14:paraId="55DF53FF" w14:textId="77777777" w:rsidR="00AA1E83" w:rsidRDefault="00E2733B" w:rsidP="005500A9">
      <w:pPr>
        <w:pBdr>
          <w:top w:val="nil"/>
          <w:left w:val="nil"/>
          <w:bottom w:val="nil"/>
          <w:right w:val="nil"/>
          <w:between w:val="nil"/>
        </w:pBdr>
        <w:shd w:val="clear" w:color="auto" w:fill="FFFFFF"/>
        <w:spacing w:after="0" w:line="480" w:lineRule="auto"/>
        <w:jc w:val="both"/>
        <w:rPr>
          <w:rFonts w:ascii="Times New Roman" w:hAnsi="Times New Roman"/>
          <w:b/>
          <w:color w:val="000000"/>
          <w:sz w:val="24"/>
          <w:szCs w:val="24"/>
          <w:lang w:val="id-ID"/>
        </w:rPr>
      </w:pPr>
      <w:r>
        <w:rPr>
          <w:rFonts w:ascii="Times New Roman" w:hAnsi="Times New Roman"/>
          <w:b/>
          <w:color w:val="000000"/>
          <w:sz w:val="24"/>
          <w:szCs w:val="24"/>
          <w:lang w:val="id-ID"/>
        </w:rPr>
        <w:t>Ethical Concern</w:t>
      </w:r>
    </w:p>
    <w:p w14:paraId="73A6537F" w14:textId="77777777" w:rsidR="00E2733B" w:rsidRPr="00E2733B" w:rsidRDefault="00BE418C" w:rsidP="005500A9">
      <w:pPr>
        <w:pBdr>
          <w:top w:val="nil"/>
          <w:left w:val="nil"/>
          <w:bottom w:val="nil"/>
          <w:right w:val="nil"/>
          <w:between w:val="nil"/>
        </w:pBdr>
        <w:shd w:val="clear" w:color="auto" w:fill="FFFFFF"/>
        <w:spacing w:line="480" w:lineRule="auto"/>
        <w:ind w:firstLine="720"/>
        <w:jc w:val="both"/>
        <w:rPr>
          <w:rFonts w:ascii="Times New Roman" w:hAnsi="Times New Roman"/>
          <w:color w:val="000000"/>
          <w:sz w:val="24"/>
          <w:szCs w:val="24"/>
          <w:lang w:val="id-ID"/>
        </w:rPr>
      </w:pPr>
      <w:r w:rsidRPr="00BE418C">
        <w:rPr>
          <w:rFonts w:ascii="Times New Roman" w:hAnsi="Times New Roman"/>
          <w:color w:val="000000"/>
          <w:sz w:val="24"/>
          <w:szCs w:val="24"/>
          <w:lang w:val="id-ID"/>
        </w:rPr>
        <w:t xml:space="preserve">All in vitro cytotoxic tests in this study have been approved by the Health Research Ethics Commission of the Faculty of Medicine, </w:t>
      </w:r>
      <w:r>
        <w:rPr>
          <w:rFonts w:ascii="Times New Roman" w:hAnsi="Times New Roman"/>
          <w:color w:val="000000"/>
          <w:sz w:val="24"/>
          <w:szCs w:val="24"/>
          <w:lang w:val="id-ID"/>
        </w:rPr>
        <w:t>Universitas Negeri Semarang,</w:t>
      </w:r>
      <w:r w:rsidRPr="00BE418C">
        <w:rPr>
          <w:rFonts w:ascii="Times New Roman" w:hAnsi="Times New Roman"/>
          <w:color w:val="000000"/>
          <w:sz w:val="24"/>
          <w:szCs w:val="24"/>
          <w:lang w:val="id-ID"/>
        </w:rPr>
        <w:t xml:space="preserve"> with reference number 055/KEPK/FK/KLE/2024.</w:t>
      </w:r>
    </w:p>
    <w:p w14:paraId="4EDE24A0" w14:textId="77777777" w:rsidR="00E2733B" w:rsidRDefault="00BE418C" w:rsidP="005500A9">
      <w:pPr>
        <w:pBdr>
          <w:top w:val="nil"/>
          <w:left w:val="nil"/>
          <w:bottom w:val="nil"/>
          <w:right w:val="nil"/>
          <w:between w:val="nil"/>
        </w:pBdr>
        <w:shd w:val="clear" w:color="auto" w:fill="FFFFFF"/>
        <w:spacing w:before="120" w:after="0" w:line="480" w:lineRule="auto"/>
        <w:jc w:val="both"/>
        <w:rPr>
          <w:rFonts w:ascii="Times New Roman" w:hAnsi="Times New Roman"/>
          <w:b/>
          <w:color w:val="000000"/>
          <w:sz w:val="24"/>
          <w:szCs w:val="24"/>
          <w:lang w:val="id-ID"/>
        </w:rPr>
      </w:pPr>
      <w:r>
        <w:rPr>
          <w:rFonts w:ascii="Times New Roman" w:hAnsi="Times New Roman"/>
          <w:b/>
          <w:color w:val="000000"/>
          <w:sz w:val="24"/>
          <w:szCs w:val="24"/>
          <w:lang w:val="id-ID"/>
        </w:rPr>
        <w:t>Materials and Cell Lines</w:t>
      </w:r>
    </w:p>
    <w:p w14:paraId="3B2FE0C6" w14:textId="77777777" w:rsidR="00BE418C" w:rsidRPr="00E2733B" w:rsidRDefault="00BE418C" w:rsidP="005500A9">
      <w:pPr>
        <w:pBdr>
          <w:top w:val="nil"/>
          <w:left w:val="nil"/>
          <w:bottom w:val="nil"/>
          <w:right w:val="nil"/>
          <w:between w:val="nil"/>
        </w:pBdr>
        <w:shd w:val="clear" w:color="auto" w:fill="FFFFFF"/>
        <w:spacing w:line="480" w:lineRule="auto"/>
        <w:ind w:firstLine="720"/>
        <w:jc w:val="both"/>
        <w:rPr>
          <w:rFonts w:ascii="Times New Roman" w:hAnsi="Times New Roman"/>
          <w:color w:val="000000"/>
          <w:sz w:val="24"/>
          <w:szCs w:val="24"/>
          <w:lang w:val="id-ID"/>
        </w:rPr>
      </w:pPr>
      <w:r w:rsidRPr="00BE418C">
        <w:rPr>
          <w:rFonts w:ascii="Times New Roman" w:hAnsi="Times New Roman"/>
          <w:color w:val="000000"/>
          <w:sz w:val="24"/>
          <w:szCs w:val="24"/>
          <w:lang w:val="id-ID"/>
        </w:rPr>
        <w:t xml:space="preserve">Rosella plants, sourced from the Rosella Tea &amp; Coffee Garden in Central Java, Indonesia, and cinnamon from Boyolali, Indonesia, have been authenticated by biologists at the Plant Taxonomy Laboratory of </w:t>
      </w:r>
      <w:r>
        <w:rPr>
          <w:rFonts w:ascii="Times New Roman" w:hAnsi="Times New Roman"/>
          <w:color w:val="000000"/>
          <w:sz w:val="24"/>
          <w:szCs w:val="24"/>
          <w:lang w:val="id-ID"/>
        </w:rPr>
        <w:t>Universitas Negeri Semarang</w:t>
      </w:r>
      <w:r w:rsidRPr="00BE418C">
        <w:rPr>
          <w:rFonts w:ascii="Times New Roman" w:hAnsi="Times New Roman"/>
          <w:color w:val="000000"/>
          <w:sz w:val="24"/>
          <w:szCs w:val="24"/>
          <w:lang w:val="id-ID"/>
        </w:rPr>
        <w:t xml:space="preserve">, with the entry number 232/UN.37/SHP/Lab. </w:t>
      </w:r>
      <w:r>
        <w:rPr>
          <w:rFonts w:ascii="Times New Roman" w:hAnsi="Times New Roman"/>
          <w:color w:val="000000"/>
          <w:sz w:val="24"/>
          <w:szCs w:val="24"/>
          <w:lang w:val="id-ID"/>
        </w:rPr>
        <w:t>Taksonomi Tumbuhan</w:t>
      </w:r>
      <w:r w:rsidRPr="00BE418C">
        <w:rPr>
          <w:rFonts w:ascii="Times New Roman" w:hAnsi="Times New Roman"/>
          <w:color w:val="000000"/>
          <w:sz w:val="24"/>
          <w:szCs w:val="24"/>
          <w:lang w:val="id-ID"/>
        </w:rPr>
        <w:t xml:space="preserve">/XI/2023. Lemongrass oil was procured from the distillation processes conducted at Minyak Atsiri Indonesia in Tawangmangu, Indonesia. T47D cells were acquired from the Cancer Chemopreventive Research Center (CCRC) at the Faculty of Medicine, </w:t>
      </w:r>
      <w:r w:rsidR="005F5C4A">
        <w:rPr>
          <w:rFonts w:ascii="Times New Roman" w:hAnsi="Times New Roman"/>
          <w:color w:val="000000"/>
          <w:sz w:val="24"/>
          <w:szCs w:val="24"/>
          <w:lang w:val="id-ID"/>
        </w:rPr>
        <w:t>FK-KMK</w:t>
      </w:r>
      <w:r w:rsidRPr="00BE418C">
        <w:rPr>
          <w:rFonts w:ascii="Times New Roman" w:hAnsi="Times New Roman"/>
          <w:color w:val="000000"/>
          <w:sz w:val="24"/>
          <w:szCs w:val="24"/>
          <w:lang w:val="id-ID"/>
        </w:rPr>
        <w:t xml:space="preserve">, </w:t>
      </w:r>
      <w:r>
        <w:rPr>
          <w:rFonts w:ascii="Times New Roman" w:hAnsi="Times New Roman"/>
          <w:color w:val="000000"/>
          <w:sz w:val="24"/>
          <w:szCs w:val="24"/>
          <w:lang w:val="id-ID"/>
        </w:rPr>
        <w:t xml:space="preserve">Universitas </w:t>
      </w:r>
      <w:r w:rsidRPr="00BE418C">
        <w:rPr>
          <w:rFonts w:ascii="Times New Roman" w:hAnsi="Times New Roman"/>
          <w:color w:val="000000"/>
          <w:sz w:val="24"/>
          <w:szCs w:val="24"/>
          <w:lang w:val="id-ID"/>
        </w:rPr>
        <w:t>Gadjah Mada, Indonesia.</w:t>
      </w:r>
    </w:p>
    <w:p w14:paraId="36CECCD2" w14:textId="77777777" w:rsidR="005500A9" w:rsidRDefault="005500A9">
      <w:pPr>
        <w:spacing w:after="0" w:line="240" w:lineRule="auto"/>
        <w:rPr>
          <w:rFonts w:ascii="Times New Roman" w:hAnsi="Times New Roman"/>
          <w:b/>
          <w:color w:val="000000"/>
          <w:sz w:val="24"/>
          <w:szCs w:val="24"/>
          <w:lang w:val="id-ID"/>
        </w:rPr>
      </w:pPr>
      <w:r>
        <w:rPr>
          <w:rFonts w:ascii="Times New Roman" w:hAnsi="Times New Roman"/>
          <w:b/>
          <w:color w:val="000000"/>
          <w:sz w:val="24"/>
          <w:szCs w:val="24"/>
          <w:lang w:val="id-ID"/>
        </w:rPr>
        <w:br w:type="page"/>
      </w:r>
    </w:p>
    <w:p w14:paraId="3694534E" w14:textId="77777777" w:rsidR="00A04650" w:rsidRPr="00A04650" w:rsidRDefault="00BE418C" w:rsidP="005500A9">
      <w:pPr>
        <w:pBdr>
          <w:top w:val="nil"/>
          <w:left w:val="nil"/>
          <w:bottom w:val="nil"/>
          <w:right w:val="nil"/>
          <w:between w:val="nil"/>
        </w:pBdr>
        <w:shd w:val="clear" w:color="auto" w:fill="FFFFFF"/>
        <w:spacing w:before="120" w:after="0" w:line="480" w:lineRule="auto"/>
        <w:jc w:val="both"/>
        <w:rPr>
          <w:rFonts w:ascii="Times New Roman" w:hAnsi="Times New Roman"/>
          <w:b/>
          <w:color w:val="000000"/>
          <w:sz w:val="24"/>
          <w:szCs w:val="24"/>
          <w:lang w:val="id-ID"/>
        </w:rPr>
      </w:pPr>
      <w:r>
        <w:rPr>
          <w:rFonts w:ascii="Times New Roman" w:hAnsi="Times New Roman"/>
          <w:b/>
          <w:color w:val="000000"/>
          <w:sz w:val="24"/>
          <w:szCs w:val="24"/>
          <w:lang w:val="id-ID"/>
        </w:rPr>
        <w:lastRenderedPageBreak/>
        <w:t>Identification of Active Compound</w:t>
      </w:r>
    </w:p>
    <w:p w14:paraId="734CA7F5" w14:textId="77777777" w:rsidR="00A04650" w:rsidRPr="00A04650" w:rsidRDefault="00BE418C" w:rsidP="005500A9">
      <w:pPr>
        <w:pBdr>
          <w:top w:val="nil"/>
          <w:left w:val="nil"/>
          <w:bottom w:val="nil"/>
          <w:right w:val="nil"/>
          <w:between w:val="nil"/>
        </w:pBdr>
        <w:shd w:val="clear" w:color="auto" w:fill="FFFFFF"/>
        <w:spacing w:after="240" w:line="480" w:lineRule="auto"/>
        <w:ind w:firstLine="720"/>
        <w:jc w:val="both"/>
        <w:rPr>
          <w:rFonts w:ascii="Times New Roman" w:hAnsi="Times New Roman"/>
          <w:color w:val="0F0F0F"/>
          <w:sz w:val="24"/>
          <w:szCs w:val="24"/>
          <w:shd w:val="clear" w:color="auto" w:fill="FFFFFF"/>
          <w:lang w:val="id-ID"/>
        </w:rPr>
      </w:pPr>
      <w:r w:rsidRPr="00BE418C">
        <w:rPr>
          <w:rFonts w:ascii="Times New Roman" w:hAnsi="Times New Roman"/>
          <w:color w:val="0F0F0F"/>
          <w:sz w:val="24"/>
          <w:szCs w:val="24"/>
          <w:shd w:val="clear" w:color="auto" w:fill="FFFFFF"/>
          <w:lang w:val="id-ID"/>
        </w:rPr>
        <w:t>The chemical constituents of cinnamon and lemongrass oils were elucidated through gas chromatography-mass spectrometry (GC-MS) analysis by chemists at the Chemical Research Laboratory, Semarang State University. Concurrently, the phytochemical profile of rosella flowers was evaluated, screening for the presence of alkaloids, flavonoids, saponins, tannins, and triterpenoids. The extraction of rosella flowers for the phytochemical screening was performed using the infusion method. Specifically, 40 grams of rosella flowers were immersed in 400 mL of distilled water, followed by heating the mixture on a hotplate at 100°C for 20 minutes. After allowing the mixture to cool, it was filtered using filter paper</w:t>
      </w:r>
      <w:r w:rsidR="00D75EA2">
        <w:rPr>
          <w:rFonts w:ascii="Times New Roman" w:hAnsi="Times New Roman"/>
          <w:color w:val="0F0F0F"/>
          <w:sz w:val="24"/>
          <w:szCs w:val="24"/>
          <w:shd w:val="clear" w:color="auto" w:fill="FFFFFF"/>
          <w:lang w:val="id-ID"/>
        </w:rPr>
        <w:t xml:space="preserve"> </w:t>
      </w:r>
      <w:r w:rsidR="00D75EA2">
        <w:rPr>
          <w:rFonts w:ascii="Times New Roman" w:hAnsi="Times New Roman"/>
          <w:color w:val="0F0F0F"/>
          <w:sz w:val="24"/>
          <w:szCs w:val="24"/>
          <w:shd w:val="clear" w:color="auto" w:fill="FFFFFF"/>
          <w:lang w:val="id-ID"/>
        </w:rPr>
        <w:fldChar w:fldCharType="begin" w:fldLock="1"/>
      </w:r>
      <w:r w:rsidR="00D73132">
        <w:rPr>
          <w:rFonts w:ascii="Times New Roman" w:hAnsi="Times New Roman"/>
          <w:color w:val="0F0F0F"/>
          <w:sz w:val="24"/>
          <w:szCs w:val="24"/>
          <w:shd w:val="clear" w:color="auto" w:fill="FFFFFF"/>
          <w:lang w:val="id-ID"/>
        </w:rPr>
        <w:instrText>ADDIN CSL_CITATION {"citationItems":[{"id":"ITEM-1","itemData":{"DOI":"10.3390/beverages6010002","ISSN":"23065710","abstract":"Roselle (Hibiscus sabdariffa L.) is an annual shrub popularly grown in tropical and subtropical areas. Although Roselle fruit has been used for a long time as a herbal tea due to its high content of bioactive compounds like phenolic acids and anthocyanins, the studies on the effects of the drying process and brewing conditions on the content of beneficial components and bioactivities of Roselle tea is limited. In this study, the influence of drying temperature on the retention of total phenolic content (TPC) and antioxidant capacity (AC) of the dried Roselle and the effects of brewing conditions including water temperature, liquid-solid ratio and brewing time on total soluble solid (TSS) content, total phenolic content, and antioxidant capacity of Roselle tea were investigated. The drying at 80◦C produced the dried Roselle with the highest retention of TPC (25.196 mg GAE/g) and AC (IC50 of 2.2 mg/mL for 2,2-diphenyl-1-picrylhydrazyl (DPPH) inhibition) and the highest sensory quality compared to the drying at other temperatures. The brewing process using hot water at 90◦C with the solid-liquid ratio of 1:10 (g/mL) for 30 min resulted in the highest TSS content (5.4oBx), TPC (12.7 mg GAE/g dried Roselle) and AC (73.3% DPPH inhibition) of the Roselle tea. Thus, the drying at 80◦C combined with the brewing of dried Roselle for 30 min using 90◦C hot water with the solid-liquid ratio of 1:10 (g/mL) are recommended to produce Roselle tea with the highest content of beneficial ingredients.","author":[{"dropping-particle":"","family":"Nguyen","given":"Quang Vinh","non-dropping-particle":"","parse-names":false,"suffix":""},{"dropping-particle":"Van","family":"Chuyen","given":"Hoang","non-dropping-particle":"","parse-names":false,"suffix":""}],"container-title":"Beverages","id":"ITEM-1","issue":"1","issued":{"date-parts":[["2020"]]},"page":"1-11","title":"Processing of herbal tea from roselle (Hibiscus sabdariffa l.): Effects of drying temperature and brewing conditions on total soluble solid, phenolic content, antioxidant capacity and sensory quality","type":"article-journal","volume":"6"},"uris":["http://www.mendeley.com/documents/?uuid=5cc9354b-88ca-4bbd-a0c2-11b131e9d49a"]}],"mendeley":{"formattedCitation":"(Nguyen &amp; Chuyen, 2020)","plainTextFormattedCitation":"(Nguyen &amp; Chuyen, 2020)","previouslyFormattedCitation":"(Nguyen &amp; Chuyen, 2020)"},"properties":{"noteIndex":0},"schema":"https://github.com/citation-style-language/schema/raw/master/csl-citation.json"}</w:instrText>
      </w:r>
      <w:r w:rsidR="00D75EA2">
        <w:rPr>
          <w:rFonts w:ascii="Times New Roman" w:hAnsi="Times New Roman"/>
          <w:color w:val="0F0F0F"/>
          <w:sz w:val="24"/>
          <w:szCs w:val="24"/>
          <w:shd w:val="clear" w:color="auto" w:fill="FFFFFF"/>
          <w:lang w:val="id-ID"/>
        </w:rPr>
        <w:fldChar w:fldCharType="separate"/>
      </w:r>
      <w:r w:rsidR="00D75EA2" w:rsidRPr="00D75EA2">
        <w:rPr>
          <w:rFonts w:ascii="Times New Roman" w:hAnsi="Times New Roman"/>
          <w:noProof/>
          <w:color w:val="0F0F0F"/>
          <w:sz w:val="24"/>
          <w:szCs w:val="24"/>
          <w:shd w:val="clear" w:color="auto" w:fill="FFFFFF"/>
          <w:lang w:val="id-ID"/>
        </w:rPr>
        <w:t>(Nguyen &amp; Chuyen, 2020)</w:t>
      </w:r>
      <w:r w:rsidR="00D75EA2">
        <w:rPr>
          <w:rFonts w:ascii="Times New Roman" w:hAnsi="Times New Roman"/>
          <w:color w:val="0F0F0F"/>
          <w:sz w:val="24"/>
          <w:szCs w:val="24"/>
          <w:shd w:val="clear" w:color="auto" w:fill="FFFFFF"/>
          <w:lang w:val="id-ID"/>
        </w:rPr>
        <w:fldChar w:fldCharType="end"/>
      </w:r>
      <w:r w:rsidRPr="00BE418C">
        <w:rPr>
          <w:rFonts w:ascii="Times New Roman" w:hAnsi="Times New Roman"/>
          <w:color w:val="0F0F0F"/>
          <w:sz w:val="24"/>
          <w:szCs w:val="24"/>
          <w:shd w:val="clear" w:color="auto" w:fill="FFFFFF"/>
          <w:lang w:val="id-ID"/>
        </w:rPr>
        <w:t>. The resulting infusion filtrate was subsequently evaporated using a water bath to yield a concentrated extract.</w:t>
      </w:r>
    </w:p>
    <w:p w14:paraId="5ED44CED" w14:textId="77777777" w:rsidR="00A04650" w:rsidRPr="00A04650" w:rsidRDefault="00BE418C" w:rsidP="005500A9">
      <w:pPr>
        <w:pStyle w:val="Heading2"/>
        <w:spacing w:after="0" w:line="480" w:lineRule="auto"/>
        <w:jc w:val="both"/>
        <w:rPr>
          <w:color w:val="0F0F0F"/>
          <w:shd w:val="clear" w:color="auto" w:fill="FFFFFF"/>
        </w:rPr>
      </w:pPr>
      <w:r>
        <w:rPr>
          <w:color w:val="000000"/>
          <w:lang w:val="id-ID"/>
        </w:rPr>
        <w:t>Tea Formulations</w:t>
      </w:r>
    </w:p>
    <w:p w14:paraId="119801BB" w14:textId="77777777" w:rsidR="00A04650" w:rsidRPr="00A04650" w:rsidRDefault="00AB7944" w:rsidP="005500A9">
      <w:pPr>
        <w:pStyle w:val="ListParagraph"/>
        <w:spacing w:after="0" w:line="480" w:lineRule="auto"/>
        <w:ind w:left="0" w:firstLine="567"/>
        <w:jc w:val="both"/>
        <w:rPr>
          <w:rFonts w:ascii="Times New Roman" w:hAnsi="Times New Roman"/>
          <w:color w:val="0F0F0F"/>
          <w:sz w:val="24"/>
          <w:szCs w:val="24"/>
          <w:shd w:val="clear" w:color="auto" w:fill="FFFFFF"/>
        </w:rPr>
      </w:pPr>
      <w:r w:rsidRPr="00AB7944">
        <w:rPr>
          <w:rFonts w:ascii="Times New Roman" w:hAnsi="Times New Roman"/>
          <w:color w:val="0F0F0F"/>
          <w:sz w:val="24"/>
          <w:szCs w:val="24"/>
          <w:shd w:val="clear" w:color="auto" w:fill="FFFFFF"/>
        </w:rPr>
        <w:t xml:space="preserve">Following initial testing, the ingredients underwent preparation for formulation. Rosella flowers were meticulously washed and their petals carefully selected before being subjected to drying in an oven at 40°C for 6 hours. Concurrently, cinnamon bark underwent drying and subsequent grinding to yield cinnamon powder. The processed ingredients were then formulated and processed in a stirred broiler tank. The evaporation tube containing kitchen lemongrass oil was heated to a temperature of 70°C, maintaining a steam pressure of 2 bar. The automatic stirring tube, initially containing 125 grams of rosella tea and cinnamon powder, was subjected to continuous stirring at a fixed speed of 20 rpm for 15 minutes, followed </w:t>
      </w:r>
      <w:r w:rsidR="005F5C4A">
        <w:rPr>
          <w:rFonts w:ascii="Times New Roman" w:hAnsi="Times New Roman"/>
          <w:color w:val="0F0F0F"/>
          <w:sz w:val="24"/>
          <w:szCs w:val="24"/>
          <w:shd w:val="clear" w:color="auto" w:fill="FFFFFF"/>
        </w:rPr>
        <w:t xml:space="preserve">by infusion with lemongrass oil </w:t>
      </w:r>
      <w:r w:rsidR="009058C8">
        <w:rPr>
          <w:rFonts w:ascii="Times New Roman" w:hAnsi="Times New Roman"/>
          <w:color w:val="0F0F0F"/>
          <w:sz w:val="24"/>
          <w:szCs w:val="24"/>
          <w:shd w:val="clear" w:color="auto" w:fill="FFFFFF"/>
        </w:rPr>
        <w:t>vapor</w:t>
      </w:r>
      <w:r w:rsidRPr="00AB7944">
        <w:rPr>
          <w:rFonts w:ascii="Times New Roman" w:hAnsi="Times New Roman"/>
          <w:color w:val="0F0F0F"/>
          <w:sz w:val="24"/>
          <w:szCs w:val="24"/>
          <w:shd w:val="clear" w:color="auto" w:fill="FFFFFF"/>
        </w:rPr>
        <w:t>. Variations in the quantity of cinnamon used and the duration of kitchen lemongrass oil evaporation are detailed in Table 1.</w:t>
      </w:r>
    </w:p>
    <w:p w14:paraId="0F87306A" w14:textId="77777777" w:rsidR="00DF083E" w:rsidRDefault="00DF083E" w:rsidP="005500A9">
      <w:pPr>
        <w:pStyle w:val="Caption"/>
        <w:keepNext/>
        <w:spacing w:line="480" w:lineRule="auto"/>
        <w:jc w:val="center"/>
        <w:rPr>
          <w:rFonts w:ascii="Times New Roman" w:hAnsi="Times New Roman"/>
          <w:b/>
          <w:i w:val="0"/>
          <w:color w:val="auto"/>
          <w:sz w:val="24"/>
          <w:szCs w:val="24"/>
        </w:rPr>
        <w:sectPr w:rsidR="00DF083E" w:rsidSect="005500A9">
          <w:type w:val="continuous"/>
          <w:pgSz w:w="11907" w:h="16839" w:code="9"/>
          <w:pgMar w:top="1440" w:right="1440" w:bottom="1440" w:left="1440" w:header="720" w:footer="720" w:gutter="0"/>
          <w:cols w:space="283"/>
          <w:docGrid w:linePitch="360"/>
        </w:sectPr>
      </w:pPr>
    </w:p>
    <w:p w14:paraId="5058FEF1" w14:textId="77777777" w:rsidR="00A04650" w:rsidRPr="00A04650" w:rsidRDefault="00A04650" w:rsidP="005500A9">
      <w:pPr>
        <w:pStyle w:val="Caption"/>
        <w:keepNext/>
        <w:spacing w:line="480" w:lineRule="auto"/>
        <w:jc w:val="center"/>
        <w:rPr>
          <w:rFonts w:ascii="Times New Roman" w:hAnsi="Times New Roman"/>
          <w:i w:val="0"/>
          <w:color w:val="auto"/>
          <w:sz w:val="24"/>
          <w:szCs w:val="24"/>
        </w:rPr>
      </w:pPr>
      <w:r w:rsidRPr="00A04650">
        <w:rPr>
          <w:rFonts w:ascii="Times New Roman" w:hAnsi="Times New Roman"/>
          <w:b/>
          <w:i w:val="0"/>
          <w:color w:val="auto"/>
          <w:sz w:val="24"/>
          <w:szCs w:val="24"/>
        </w:rPr>
        <w:t>Ta</w:t>
      </w:r>
      <w:r w:rsidR="00887221">
        <w:rPr>
          <w:rFonts w:ascii="Times New Roman" w:hAnsi="Times New Roman"/>
          <w:b/>
          <w:i w:val="0"/>
          <w:color w:val="auto"/>
          <w:sz w:val="24"/>
          <w:szCs w:val="24"/>
        </w:rPr>
        <w:t>bl</w:t>
      </w:r>
      <w:r w:rsidR="00AB7944">
        <w:rPr>
          <w:rFonts w:ascii="Times New Roman" w:hAnsi="Times New Roman"/>
          <w:b/>
          <w:i w:val="0"/>
          <w:color w:val="auto"/>
          <w:sz w:val="24"/>
          <w:szCs w:val="24"/>
        </w:rPr>
        <w:t>e</w:t>
      </w:r>
      <w:r w:rsidRPr="00A04650">
        <w:rPr>
          <w:rFonts w:ascii="Times New Roman" w:hAnsi="Times New Roman"/>
          <w:b/>
          <w:i w:val="0"/>
          <w:color w:val="auto"/>
          <w:sz w:val="24"/>
          <w:szCs w:val="24"/>
        </w:rPr>
        <w:t xml:space="preserve"> </w:t>
      </w:r>
      <w:r w:rsidRPr="00A04650">
        <w:rPr>
          <w:rFonts w:ascii="Times New Roman" w:hAnsi="Times New Roman"/>
          <w:b/>
          <w:i w:val="0"/>
          <w:color w:val="auto"/>
          <w:sz w:val="24"/>
          <w:szCs w:val="24"/>
        </w:rPr>
        <w:fldChar w:fldCharType="begin"/>
      </w:r>
      <w:r w:rsidRPr="00A04650">
        <w:rPr>
          <w:rFonts w:ascii="Times New Roman" w:hAnsi="Times New Roman"/>
          <w:b/>
          <w:i w:val="0"/>
          <w:color w:val="auto"/>
          <w:sz w:val="24"/>
          <w:szCs w:val="24"/>
        </w:rPr>
        <w:instrText xml:space="preserve"> SEQ Tabel \* ARABIC </w:instrText>
      </w:r>
      <w:r w:rsidRPr="00A04650">
        <w:rPr>
          <w:rFonts w:ascii="Times New Roman" w:hAnsi="Times New Roman"/>
          <w:b/>
          <w:i w:val="0"/>
          <w:color w:val="auto"/>
          <w:sz w:val="24"/>
          <w:szCs w:val="24"/>
        </w:rPr>
        <w:fldChar w:fldCharType="separate"/>
      </w:r>
      <w:r w:rsidR="003A0730">
        <w:rPr>
          <w:rFonts w:ascii="Times New Roman" w:hAnsi="Times New Roman"/>
          <w:b/>
          <w:i w:val="0"/>
          <w:noProof/>
          <w:color w:val="auto"/>
          <w:sz w:val="24"/>
          <w:szCs w:val="24"/>
        </w:rPr>
        <w:t>1</w:t>
      </w:r>
      <w:r w:rsidRPr="00A04650">
        <w:rPr>
          <w:rFonts w:ascii="Times New Roman" w:hAnsi="Times New Roman"/>
          <w:b/>
          <w:i w:val="0"/>
          <w:color w:val="auto"/>
          <w:sz w:val="24"/>
          <w:szCs w:val="24"/>
        </w:rPr>
        <w:fldChar w:fldCharType="end"/>
      </w:r>
      <w:r w:rsidRPr="00A04650">
        <w:rPr>
          <w:rFonts w:ascii="Times New Roman" w:hAnsi="Times New Roman"/>
          <w:b/>
          <w:i w:val="0"/>
          <w:color w:val="auto"/>
          <w:sz w:val="24"/>
          <w:szCs w:val="24"/>
        </w:rPr>
        <w:t>.</w:t>
      </w:r>
      <w:r w:rsidRPr="00A04650">
        <w:rPr>
          <w:rFonts w:ascii="Times New Roman" w:hAnsi="Times New Roman"/>
          <w:i w:val="0"/>
          <w:color w:val="auto"/>
          <w:sz w:val="24"/>
          <w:szCs w:val="24"/>
        </w:rPr>
        <w:t xml:space="preserve"> </w:t>
      </w:r>
      <w:r w:rsidR="00AB7944">
        <w:rPr>
          <w:rFonts w:ascii="Times New Roman" w:hAnsi="Times New Roman"/>
          <w:i w:val="0"/>
          <w:color w:val="auto"/>
          <w:sz w:val="24"/>
          <w:szCs w:val="24"/>
        </w:rPr>
        <w:t>Variation of Roselle Herbal Tea Formulation</w:t>
      </w:r>
    </w:p>
    <w:tbl>
      <w:tblPr>
        <w:tblW w:w="0" w:type="auto"/>
        <w:jc w:val="center"/>
        <w:tblBorders>
          <w:top w:val="single" w:sz="4" w:space="0" w:color="auto"/>
          <w:bottom w:val="single" w:sz="4" w:space="0" w:color="auto"/>
        </w:tblBorders>
        <w:tblLook w:val="04A0" w:firstRow="1" w:lastRow="0" w:firstColumn="1" w:lastColumn="0" w:noHBand="0" w:noVBand="1"/>
      </w:tblPr>
      <w:tblGrid>
        <w:gridCol w:w="1403"/>
        <w:gridCol w:w="2288"/>
        <w:gridCol w:w="2228"/>
      </w:tblGrid>
      <w:tr w:rsidR="00A04650" w:rsidRPr="00AF0019" w14:paraId="78DB8C3F" w14:textId="77777777" w:rsidTr="00AB7944">
        <w:trPr>
          <w:jc w:val="center"/>
        </w:trPr>
        <w:tc>
          <w:tcPr>
            <w:tcW w:w="1403" w:type="dxa"/>
            <w:tcBorders>
              <w:top w:val="single" w:sz="4" w:space="0" w:color="auto"/>
              <w:bottom w:val="single" w:sz="4" w:space="0" w:color="auto"/>
            </w:tcBorders>
            <w:shd w:val="clear" w:color="auto" w:fill="auto"/>
            <w:hideMark/>
          </w:tcPr>
          <w:p w14:paraId="01393261" w14:textId="77777777" w:rsidR="00A04650" w:rsidRPr="00AB7944" w:rsidRDefault="00AB7944" w:rsidP="005500A9">
            <w:pPr>
              <w:pStyle w:val="ListParagraph"/>
              <w:spacing w:after="0"/>
              <w:ind w:left="0"/>
              <w:jc w:val="center"/>
              <w:rPr>
                <w:rFonts w:ascii="Times New Roman" w:eastAsia="Times New Roman" w:hAnsi="Times New Roman"/>
                <w:sz w:val="24"/>
                <w:szCs w:val="24"/>
                <w:lang w:val="id-ID"/>
              </w:rPr>
            </w:pPr>
            <w:r>
              <w:rPr>
                <w:rFonts w:ascii="Times New Roman" w:eastAsia="Times New Roman" w:hAnsi="Times New Roman"/>
                <w:sz w:val="24"/>
                <w:szCs w:val="24"/>
                <w:lang w:val="id-ID"/>
              </w:rPr>
              <w:t>Formulation</w:t>
            </w:r>
          </w:p>
        </w:tc>
        <w:tc>
          <w:tcPr>
            <w:tcW w:w="2288" w:type="dxa"/>
            <w:tcBorders>
              <w:top w:val="single" w:sz="4" w:space="0" w:color="auto"/>
              <w:bottom w:val="single" w:sz="4" w:space="0" w:color="auto"/>
            </w:tcBorders>
            <w:shd w:val="clear" w:color="auto" w:fill="auto"/>
            <w:hideMark/>
          </w:tcPr>
          <w:p w14:paraId="0A4E6A04" w14:textId="77777777" w:rsidR="00A04650" w:rsidRPr="00AF0019" w:rsidRDefault="00AB7944" w:rsidP="005500A9">
            <w:pPr>
              <w:pStyle w:val="ListParagraph"/>
              <w:spacing w:after="0"/>
              <w:ind w:left="0"/>
              <w:jc w:val="center"/>
              <w:rPr>
                <w:rFonts w:ascii="Times New Roman" w:eastAsia="Times New Roman" w:hAnsi="Times New Roman"/>
                <w:sz w:val="24"/>
                <w:szCs w:val="24"/>
              </w:rPr>
            </w:pPr>
            <w:r>
              <w:rPr>
                <w:rFonts w:ascii="Times New Roman" w:eastAsia="Times New Roman" w:hAnsi="Times New Roman"/>
                <w:sz w:val="24"/>
                <w:szCs w:val="24"/>
                <w:lang w:val="id-ID"/>
              </w:rPr>
              <w:t>Evaporation time of lemongrass oil</w:t>
            </w:r>
            <w:r>
              <w:rPr>
                <w:rFonts w:ascii="Times New Roman" w:eastAsia="Times New Roman" w:hAnsi="Times New Roman"/>
                <w:sz w:val="24"/>
                <w:szCs w:val="24"/>
              </w:rPr>
              <w:t xml:space="preserve"> (s</w:t>
            </w:r>
            <w:r w:rsidR="00A04650" w:rsidRPr="00AF0019">
              <w:rPr>
                <w:rFonts w:ascii="Times New Roman" w:eastAsia="Times New Roman" w:hAnsi="Times New Roman"/>
                <w:sz w:val="24"/>
                <w:szCs w:val="24"/>
              </w:rPr>
              <w:t>)</w:t>
            </w:r>
          </w:p>
        </w:tc>
        <w:tc>
          <w:tcPr>
            <w:tcW w:w="2228" w:type="dxa"/>
            <w:tcBorders>
              <w:top w:val="single" w:sz="4" w:space="0" w:color="auto"/>
              <w:bottom w:val="single" w:sz="4" w:space="0" w:color="auto"/>
            </w:tcBorders>
            <w:shd w:val="clear" w:color="auto" w:fill="auto"/>
          </w:tcPr>
          <w:p w14:paraId="7D45C676" w14:textId="77777777" w:rsidR="00A04650" w:rsidRPr="00AF0019" w:rsidRDefault="00AB7944" w:rsidP="005500A9">
            <w:pPr>
              <w:pStyle w:val="ListParagraph"/>
              <w:spacing w:after="0"/>
              <w:ind w:left="0"/>
              <w:jc w:val="center"/>
              <w:rPr>
                <w:rFonts w:ascii="Times New Roman" w:eastAsia="Times New Roman" w:hAnsi="Times New Roman"/>
                <w:sz w:val="24"/>
                <w:szCs w:val="24"/>
              </w:rPr>
            </w:pPr>
            <w:r>
              <w:rPr>
                <w:rFonts w:ascii="Times New Roman" w:eastAsia="Times New Roman" w:hAnsi="Times New Roman"/>
                <w:sz w:val="24"/>
                <w:szCs w:val="24"/>
                <w:lang w:val="id-ID"/>
              </w:rPr>
              <w:t>Weight of cinnamon powder</w:t>
            </w:r>
            <w:r w:rsidR="00A04650" w:rsidRPr="00AF0019">
              <w:rPr>
                <w:rFonts w:ascii="Times New Roman" w:eastAsia="Times New Roman" w:hAnsi="Times New Roman"/>
                <w:sz w:val="24"/>
                <w:szCs w:val="24"/>
              </w:rPr>
              <w:t xml:space="preserve"> (g)</w:t>
            </w:r>
          </w:p>
        </w:tc>
      </w:tr>
      <w:tr w:rsidR="00A04650" w:rsidRPr="00AF0019" w14:paraId="663DCC3F" w14:textId="77777777" w:rsidTr="00AB7944">
        <w:trPr>
          <w:jc w:val="center"/>
        </w:trPr>
        <w:tc>
          <w:tcPr>
            <w:tcW w:w="1403" w:type="dxa"/>
            <w:tcBorders>
              <w:top w:val="single" w:sz="4" w:space="0" w:color="auto"/>
            </w:tcBorders>
            <w:shd w:val="clear" w:color="auto" w:fill="auto"/>
            <w:hideMark/>
          </w:tcPr>
          <w:p w14:paraId="19A03A5C"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F1</w:t>
            </w:r>
          </w:p>
        </w:tc>
        <w:tc>
          <w:tcPr>
            <w:tcW w:w="2288" w:type="dxa"/>
            <w:tcBorders>
              <w:top w:val="single" w:sz="4" w:space="0" w:color="auto"/>
            </w:tcBorders>
            <w:shd w:val="clear" w:color="auto" w:fill="auto"/>
            <w:hideMark/>
          </w:tcPr>
          <w:p w14:paraId="32EB9D6F"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0</w:t>
            </w:r>
          </w:p>
        </w:tc>
        <w:tc>
          <w:tcPr>
            <w:tcW w:w="2228" w:type="dxa"/>
            <w:tcBorders>
              <w:top w:val="single" w:sz="4" w:space="0" w:color="auto"/>
            </w:tcBorders>
            <w:shd w:val="clear" w:color="auto" w:fill="auto"/>
          </w:tcPr>
          <w:p w14:paraId="14038624"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0</w:t>
            </w:r>
          </w:p>
        </w:tc>
      </w:tr>
      <w:tr w:rsidR="00A04650" w:rsidRPr="00AF0019" w14:paraId="54295A8A" w14:textId="77777777" w:rsidTr="00AB7944">
        <w:trPr>
          <w:jc w:val="center"/>
        </w:trPr>
        <w:tc>
          <w:tcPr>
            <w:tcW w:w="1403" w:type="dxa"/>
            <w:shd w:val="clear" w:color="auto" w:fill="auto"/>
            <w:hideMark/>
          </w:tcPr>
          <w:p w14:paraId="6BD17D6D"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lastRenderedPageBreak/>
              <w:t>F2</w:t>
            </w:r>
          </w:p>
        </w:tc>
        <w:tc>
          <w:tcPr>
            <w:tcW w:w="2288" w:type="dxa"/>
            <w:shd w:val="clear" w:color="auto" w:fill="auto"/>
            <w:hideMark/>
          </w:tcPr>
          <w:p w14:paraId="5EC5B80E" w14:textId="77777777" w:rsidR="00A04650" w:rsidRPr="00C96CCB" w:rsidRDefault="00C96CCB" w:rsidP="005500A9">
            <w:pPr>
              <w:pStyle w:val="ListParagraph"/>
              <w:spacing w:after="0"/>
              <w:ind w:left="0"/>
              <w:jc w:val="center"/>
              <w:rPr>
                <w:rFonts w:ascii="Times New Roman" w:eastAsia="Times New Roman" w:hAnsi="Times New Roman"/>
                <w:sz w:val="24"/>
                <w:szCs w:val="24"/>
                <w:lang w:val="id-ID"/>
              </w:rPr>
            </w:pPr>
            <w:r>
              <w:rPr>
                <w:rFonts w:ascii="Times New Roman" w:eastAsia="Times New Roman" w:hAnsi="Times New Roman"/>
                <w:sz w:val="24"/>
                <w:szCs w:val="24"/>
                <w:lang w:val="id-ID"/>
              </w:rPr>
              <w:t>0</w:t>
            </w:r>
          </w:p>
        </w:tc>
        <w:tc>
          <w:tcPr>
            <w:tcW w:w="2228" w:type="dxa"/>
            <w:shd w:val="clear" w:color="auto" w:fill="auto"/>
          </w:tcPr>
          <w:p w14:paraId="6232DBDB"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15</w:t>
            </w:r>
          </w:p>
        </w:tc>
      </w:tr>
      <w:tr w:rsidR="00A04650" w:rsidRPr="00AF0019" w14:paraId="17C4EF46" w14:textId="77777777" w:rsidTr="00AB7944">
        <w:trPr>
          <w:jc w:val="center"/>
        </w:trPr>
        <w:tc>
          <w:tcPr>
            <w:tcW w:w="1403" w:type="dxa"/>
            <w:shd w:val="clear" w:color="auto" w:fill="auto"/>
            <w:hideMark/>
          </w:tcPr>
          <w:p w14:paraId="5183553F"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F3</w:t>
            </w:r>
          </w:p>
        </w:tc>
        <w:tc>
          <w:tcPr>
            <w:tcW w:w="2288" w:type="dxa"/>
            <w:shd w:val="clear" w:color="auto" w:fill="auto"/>
            <w:hideMark/>
          </w:tcPr>
          <w:p w14:paraId="366A280E"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5</w:t>
            </w:r>
          </w:p>
        </w:tc>
        <w:tc>
          <w:tcPr>
            <w:tcW w:w="2228" w:type="dxa"/>
            <w:shd w:val="clear" w:color="auto" w:fill="auto"/>
          </w:tcPr>
          <w:p w14:paraId="218F7695"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10</w:t>
            </w:r>
          </w:p>
        </w:tc>
      </w:tr>
      <w:tr w:rsidR="00A04650" w:rsidRPr="00AF0019" w14:paraId="20676596" w14:textId="77777777" w:rsidTr="00AB7944">
        <w:trPr>
          <w:jc w:val="center"/>
        </w:trPr>
        <w:tc>
          <w:tcPr>
            <w:tcW w:w="1403" w:type="dxa"/>
            <w:shd w:val="clear" w:color="auto" w:fill="auto"/>
            <w:hideMark/>
          </w:tcPr>
          <w:p w14:paraId="791C0C4B"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F4</w:t>
            </w:r>
          </w:p>
        </w:tc>
        <w:tc>
          <w:tcPr>
            <w:tcW w:w="2288" w:type="dxa"/>
            <w:shd w:val="clear" w:color="auto" w:fill="auto"/>
            <w:hideMark/>
          </w:tcPr>
          <w:p w14:paraId="44109E78" w14:textId="77777777" w:rsidR="00A04650" w:rsidRPr="00AF0019" w:rsidRDefault="00C96CCB" w:rsidP="005500A9">
            <w:pPr>
              <w:pStyle w:val="ListParagraph"/>
              <w:spacing w:after="0"/>
              <w:ind w:left="0"/>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228" w:type="dxa"/>
            <w:shd w:val="clear" w:color="auto" w:fill="auto"/>
          </w:tcPr>
          <w:p w14:paraId="4C9C39EF" w14:textId="77777777" w:rsidR="00A04650" w:rsidRPr="00C96CCB" w:rsidRDefault="00A04650" w:rsidP="005500A9">
            <w:pPr>
              <w:pStyle w:val="ListParagraph"/>
              <w:spacing w:after="0"/>
              <w:ind w:left="0"/>
              <w:jc w:val="center"/>
              <w:rPr>
                <w:rFonts w:ascii="Times New Roman" w:eastAsia="Times New Roman" w:hAnsi="Times New Roman"/>
                <w:sz w:val="24"/>
                <w:szCs w:val="24"/>
                <w:lang w:val="id-ID"/>
              </w:rPr>
            </w:pPr>
            <w:r w:rsidRPr="00AF0019">
              <w:rPr>
                <w:rFonts w:ascii="Times New Roman" w:eastAsia="Times New Roman" w:hAnsi="Times New Roman"/>
                <w:sz w:val="24"/>
                <w:szCs w:val="24"/>
              </w:rPr>
              <w:t>1</w:t>
            </w:r>
            <w:r w:rsidR="00C96CCB">
              <w:rPr>
                <w:rFonts w:ascii="Times New Roman" w:eastAsia="Times New Roman" w:hAnsi="Times New Roman"/>
                <w:sz w:val="24"/>
                <w:szCs w:val="24"/>
                <w:lang w:val="id-ID"/>
              </w:rPr>
              <w:t>5</w:t>
            </w:r>
          </w:p>
        </w:tc>
      </w:tr>
      <w:tr w:rsidR="00A04650" w:rsidRPr="00AF0019" w14:paraId="721944A3" w14:textId="77777777" w:rsidTr="00AB7944">
        <w:trPr>
          <w:jc w:val="center"/>
        </w:trPr>
        <w:tc>
          <w:tcPr>
            <w:tcW w:w="1403" w:type="dxa"/>
            <w:shd w:val="clear" w:color="auto" w:fill="auto"/>
            <w:hideMark/>
          </w:tcPr>
          <w:p w14:paraId="39B0E437"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F5</w:t>
            </w:r>
          </w:p>
        </w:tc>
        <w:tc>
          <w:tcPr>
            <w:tcW w:w="2288" w:type="dxa"/>
            <w:shd w:val="clear" w:color="auto" w:fill="auto"/>
            <w:hideMark/>
          </w:tcPr>
          <w:p w14:paraId="522FD8B6"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10</w:t>
            </w:r>
          </w:p>
        </w:tc>
        <w:tc>
          <w:tcPr>
            <w:tcW w:w="2228" w:type="dxa"/>
            <w:shd w:val="clear" w:color="auto" w:fill="auto"/>
          </w:tcPr>
          <w:p w14:paraId="1099A9F1"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10</w:t>
            </w:r>
          </w:p>
        </w:tc>
      </w:tr>
      <w:tr w:rsidR="00A04650" w:rsidRPr="00AF0019" w14:paraId="52D0B242" w14:textId="77777777" w:rsidTr="00AB7944">
        <w:trPr>
          <w:jc w:val="center"/>
        </w:trPr>
        <w:tc>
          <w:tcPr>
            <w:tcW w:w="1403" w:type="dxa"/>
            <w:shd w:val="clear" w:color="auto" w:fill="auto"/>
            <w:hideMark/>
          </w:tcPr>
          <w:p w14:paraId="4E6B02FF"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F6</w:t>
            </w:r>
          </w:p>
        </w:tc>
        <w:tc>
          <w:tcPr>
            <w:tcW w:w="2288" w:type="dxa"/>
            <w:shd w:val="clear" w:color="auto" w:fill="auto"/>
            <w:hideMark/>
          </w:tcPr>
          <w:p w14:paraId="7A5ECC1F"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15</w:t>
            </w:r>
          </w:p>
        </w:tc>
        <w:tc>
          <w:tcPr>
            <w:tcW w:w="2228" w:type="dxa"/>
            <w:shd w:val="clear" w:color="auto" w:fill="auto"/>
          </w:tcPr>
          <w:p w14:paraId="21C9B926" w14:textId="77777777" w:rsidR="00A04650" w:rsidRPr="00AF0019" w:rsidRDefault="00A04650" w:rsidP="005500A9">
            <w:pPr>
              <w:pStyle w:val="ListParagraph"/>
              <w:spacing w:after="0"/>
              <w:ind w:left="0"/>
              <w:jc w:val="center"/>
              <w:rPr>
                <w:rFonts w:ascii="Times New Roman" w:eastAsia="Times New Roman" w:hAnsi="Times New Roman"/>
                <w:sz w:val="24"/>
                <w:szCs w:val="24"/>
              </w:rPr>
            </w:pPr>
            <w:r w:rsidRPr="00AF0019">
              <w:rPr>
                <w:rFonts w:ascii="Times New Roman" w:eastAsia="Times New Roman" w:hAnsi="Times New Roman"/>
                <w:sz w:val="24"/>
                <w:szCs w:val="24"/>
              </w:rPr>
              <w:t>5</w:t>
            </w:r>
          </w:p>
        </w:tc>
      </w:tr>
    </w:tbl>
    <w:p w14:paraId="2B536472" w14:textId="77777777" w:rsidR="00A04650" w:rsidRPr="00A04650" w:rsidRDefault="00AB7944" w:rsidP="005500A9">
      <w:pPr>
        <w:pBdr>
          <w:top w:val="nil"/>
          <w:left w:val="nil"/>
          <w:bottom w:val="nil"/>
          <w:right w:val="nil"/>
          <w:between w:val="nil"/>
        </w:pBdr>
        <w:shd w:val="clear" w:color="auto" w:fill="FFFFFF"/>
        <w:spacing w:before="240" w:after="0" w:line="480" w:lineRule="auto"/>
        <w:jc w:val="both"/>
        <w:rPr>
          <w:rFonts w:ascii="Times New Roman" w:hAnsi="Times New Roman"/>
          <w:b/>
          <w:color w:val="000000"/>
          <w:sz w:val="24"/>
          <w:szCs w:val="24"/>
          <w:lang w:val="id-ID"/>
        </w:rPr>
      </w:pPr>
      <w:r>
        <w:rPr>
          <w:rFonts w:ascii="Times New Roman" w:hAnsi="Times New Roman"/>
          <w:b/>
          <w:color w:val="000000"/>
          <w:sz w:val="24"/>
          <w:szCs w:val="24"/>
          <w:lang w:val="id-ID"/>
        </w:rPr>
        <w:t>Cell Line Culture</w:t>
      </w:r>
    </w:p>
    <w:p w14:paraId="3941346B" w14:textId="77777777" w:rsidR="00A04650" w:rsidRPr="00A04650" w:rsidRDefault="00AB7944" w:rsidP="005500A9">
      <w:pPr>
        <w:pBdr>
          <w:top w:val="nil"/>
          <w:left w:val="nil"/>
          <w:bottom w:val="nil"/>
          <w:right w:val="nil"/>
          <w:between w:val="nil"/>
        </w:pBdr>
        <w:shd w:val="clear" w:color="auto" w:fill="FFFFFF"/>
        <w:spacing w:after="120" w:line="480" w:lineRule="auto"/>
        <w:ind w:firstLine="567"/>
        <w:jc w:val="both"/>
        <w:rPr>
          <w:rFonts w:ascii="Times New Roman" w:hAnsi="Times New Roman"/>
          <w:color w:val="000000"/>
          <w:sz w:val="24"/>
          <w:szCs w:val="24"/>
          <w:lang w:val="id-ID"/>
        </w:rPr>
      </w:pPr>
      <w:r w:rsidRPr="00AB7944">
        <w:rPr>
          <w:rFonts w:ascii="Times New Roman" w:hAnsi="Times New Roman"/>
          <w:color w:val="000000"/>
          <w:sz w:val="24"/>
          <w:szCs w:val="24"/>
          <w:lang w:val="id-ID"/>
        </w:rPr>
        <w:t xml:space="preserve">T47D cells were cultured at the Parasitology Laboratory, </w:t>
      </w:r>
      <w:r w:rsidR="00D87230">
        <w:rPr>
          <w:rFonts w:ascii="Times New Roman" w:hAnsi="Times New Roman"/>
          <w:color w:val="000000"/>
          <w:sz w:val="24"/>
          <w:szCs w:val="24"/>
          <w:lang w:val="id-ID"/>
        </w:rPr>
        <w:t>FK-KMK</w:t>
      </w:r>
      <w:r w:rsidRPr="00AB7944">
        <w:rPr>
          <w:rFonts w:ascii="Times New Roman" w:hAnsi="Times New Roman"/>
          <w:color w:val="000000"/>
          <w:sz w:val="24"/>
          <w:szCs w:val="24"/>
          <w:lang w:val="id-ID"/>
        </w:rPr>
        <w:t xml:space="preserve">, Universitas Gadjah Mada, located in Yogyakarta, Central Java, Indonesia. The cells were maintained in Roswell Park Memorial Institute (RPMI) medium (Gibco, USA), supplemented with 10% (v/v) Fetal Bovine Serum (FBS) and 1% (v/v) penicillin-streptomycin (Gibco, USA). The cultures were incubated </w:t>
      </w:r>
      <w:r w:rsidR="00D75EA2">
        <w:rPr>
          <w:rFonts w:ascii="Times New Roman" w:hAnsi="Times New Roman"/>
          <w:color w:val="000000"/>
          <w:sz w:val="24"/>
          <w:szCs w:val="24"/>
          <w:lang w:val="id-ID"/>
        </w:rPr>
        <w:t>at 37°C in a 5% CO</w:t>
      </w:r>
      <w:r w:rsidR="00D75EA2" w:rsidRPr="00993619">
        <w:rPr>
          <w:rFonts w:ascii="Times New Roman" w:hAnsi="Times New Roman"/>
          <w:color w:val="000000"/>
          <w:sz w:val="24"/>
          <w:szCs w:val="24"/>
          <w:vertAlign w:val="subscript"/>
          <w:lang w:val="id-ID"/>
        </w:rPr>
        <w:t>2</w:t>
      </w:r>
      <w:r w:rsidR="00D75EA2">
        <w:rPr>
          <w:rFonts w:ascii="Times New Roman" w:hAnsi="Times New Roman"/>
          <w:color w:val="000000"/>
          <w:sz w:val="24"/>
          <w:szCs w:val="24"/>
          <w:lang w:val="id-ID"/>
        </w:rPr>
        <w:t xml:space="preserve"> atmosphere.</w:t>
      </w:r>
    </w:p>
    <w:p w14:paraId="1584BFE5" w14:textId="77777777" w:rsidR="00A04650" w:rsidRPr="00A04650" w:rsidRDefault="00AB7944" w:rsidP="005500A9">
      <w:pPr>
        <w:pBdr>
          <w:top w:val="nil"/>
          <w:left w:val="nil"/>
          <w:bottom w:val="nil"/>
          <w:right w:val="nil"/>
          <w:between w:val="nil"/>
        </w:pBdr>
        <w:shd w:val="clear" w:color="auto" w:fill="FFFFFF"/>
        <w:tabs>
          <w:tab w:val="left" w:pos="3152"/>
        </w:tabs>
        <w:spacing w:before="240" w:after="0" w:line="480" w:lineRule="auto"/>
        <w:jc w:val="both"/>
        <w:rPr>
          <w:rFonts w:ascii="Times New Roman" w:hAnsi="Times New Roman"/>
          <w:b/>
          <w:color w:val="000000"/>
          <w:sz w:val="24"/>
          <w:szCs w:val="24"/>
          <w:lang w:val="id-ID"/>
        </w:rPr>
      </w:pPr>
      <w:r>
        <w:rPr>
          <w:rFonts w:ascii="Times New Roman" w:hAnsi="Times New Roman"/>
          <w:b/>
          <w:color w:val="000000"/>
          <w:sz w:val="24"/>
          <w:szCs w:val="24"/>
          <w:lang w:val="id-ID"/>
        </w:rPr>
        <w:t>Cytotoxic Assay</w:t>
      </w:r>
      <w:r>
        <w:rPr>
          <w:rFonts w:ascii="Times New Roman" w:hAnsi="Times New Roman"/>
          <w:b/>
          <w:color w:val="000000"/>
          <w:sz w:val="24"/>
          <w:szCs w:val="24"/>
          <w:lang w:val="id-ID"/>
        </w:rPr>
        <w:tab/>
      </w:r>
    </w:p>
    <w:p w14:paraId="20C2718F" w14:textId="77777777" w:rsidR="00A04650" w:rsidRPr="002D4088" w:rsidRDefault="00AB7944" w:rsidP="005500A9">
      <w:pPr>
        <w:spacing w:line="480" w:lineRule="auto"/>
        <w:ind w:firstLine="720"/>
        <w:jc w:val="both"/>
        <w:rPr>
          <w:rFonts w:ascii="Times New Roman" w:hAnsi="Times New Roman"/>
          <w:sz w:val="24"/>
          <w:szCs w:val="24"/>
          <w:lang w:val="id-ID"/>
        </w:rPr>
      </w:pPr>
      <w:r w:rsidRPr="00AB7944">
        <w:rPr>
          <w:rFonts w:ascii="Times New Roman" w:hAnsi="Times New Roman"/>
          <w:sz w:val="24"/>
          <w:szCs w:val="24"/>
        </w:rPr>
        <w:t xml:space="preserve">The cytotoxicity of rosella tea against T47D cancer cells was evaluated using the MTT assay, following established protocols </w:t>
      </w:r>
      <w:r w:rsidR="00D73132" w:rsidRPr="00A04650">
        <w:rPr>
          <w:rFonts w:ascii="Times New Roman" w:hAnsi="Times New Roman"/>
          <w:color w:val="0F0F0F"/>
          <w:sz w:val="24"/>
          <w:szCs w:val="24"/>
          <w:shd w:val="clear" w:color="auto" w:fill="FFFFFF"/>
          <w:lang w:val="id-ID"/>
        </w:rPr>
        <w:fldChar w:fldCharType="begin" w:fldLock="1"/>
      </w:r>
      <w:r w:rsidR="00D73132" w:rsidRPr="00A04650">
        <w:rPr>
          <w:rFonts w:ascii="Times New Roman" w:hAnsi="Times New Roman"/>
          <w:color w:val="0F0F0F"/>
          <w:sz w:val="24"/>
          <w:szCs w:val="24"/>
          <w:shd w:val="clear" w:color="auto" w:fill="FFFFFF"/>
          <w:lang w:val="id-ID"/>
        </w:rPr>
        <w:instrText>ADDIN CSL_CITATION {"citationItems":[{"id":"ITEM-1","itemData":{"abstract":"Kultur sel yang telah membentuk monolayer konfluen 80% mulai dapat digunakan untuk pengujian atau disubkultur. Proses pengambilan sel yang telah konfluen disebut panen sel. Poin utama dari panen sel adalah melepaskan ikatan antar sel dan ikatan sel dengan matrik tanpa merusak sel itu sendiri.","author":[{"dropping-particle":"","family":"CCRC","given":"","non-dropping-particle":"","parse-names":false,"suffix":""}],"container-title":"Cancer Chemoprevention Research Center Fakultas Farmasi UGM","id":"ITEM-1","issued":{"date-parts":[["2009"]]},"page":"1-3","title":"Prosedur Tetap Panen Sel","type":"article-journal"},"uris":["http://www.mendeley.com/documents/?uuid=f7f63ef7-8c47-46aa-a0fc-bbe77cf66fe8"]},{"id":"ITEM-2","itemData":{"abstract":"Sel yang akan digunakan untuk uji dengan out put data melibatkan jumlah sel (misal uji sitotoksik, flowcytometri dan doubling time) harus memiliki jumlah tertentu dan antar kelompok perlakuan harus homogen. Perhitungan sel tersebut dapat dilakukan dengan hemositometer dibawah mikroskop. Syarat penghitungan sel dengan metode hemositometri adalah sel harus ”berdiri” sendiri-sendiri/ tidak menggerombol. D.","author":[{"dropping-particle":"","family":"CCRC","given":"","non-dropping-particle":"","parse-names":false,"suffix":""}],"container-title":"Cancer Chemoprevention Research Center Farmasi UGM Yogyakarta","id":"ITEM-2","issued":{"date-parts":[["2009"]]},"page":"1-4","title":"Prosedur Tetap: Perhitungan Sel","type":"article-journal"},"uris":["http://www.mendeley.com/documents/?uuid=7a95d1ba-585e-4612-9b4d-a66f33d9fd7e"]},{"id":"ITEM-3","itemData":{"ISBN":"979-448-639-6","ISSN":"1062-922X","abstract":"1. Oncogenes appear to play an important role in the physiology of transformed as well as of normal cells. 2. The src oncogene is by far the most investigated oncogene in birds and mammals with respect to the biochemical characteristics of its tyrosine kinase activity, although the specific function of this enzymatic activity still remains to be uncovered. 3. Systematic studies on the src related kinase activity in lower animals are lacking. 4. To contribute to a better understanding of the function of the c-src gene, we performed a comparative study on lower chordates. 5. We were able to demonstrate the presence of c-src related sequences in Acrania, Cyclostomata, cartilagenous and bony fish. 6. By performing the pp60src-specific immune complex assay we detected a tyrosine specific kinase activity, that shows the same biochemical properties as the pp60c-src from higher vertebrates. 7. The level of kinase activity is regulated in an organ specific manner. 8. In lymphocystis tumors of flat-fish and in stomatopapilloma of freshwater eels a considerable amount of pp60c-src kinase activity was found, which, however, never exceeded the levels found in the normal brain. Author.","author":[{"dropping-particle":"","family":"CCRC","given":"","non-dropping-particle":"","parse-names":false,"suffix":""}],"container-title":"Fakultas Farmasi UGM","id":"ITEM-3","issued":{"date-parts":[["2009"]]},"page":"1-3","title":"Prosedur Tetap Preparasi Sampel","type":"article-journal"},"uris":["http://www.mendeley.com/documents/?uuid=e155f2f7-7c87-4359-bc46-b6bec1fd8956"]},{"id":"ITEM-4","itemData":{"ISBN":"979-448-639-6","ISSN":"1062-922X","abstract":"1. Oncogenes appear to play an important role in the physiology of transformed as well as of normal cells. 2. The src oncogene is by far the most investigated oncogene in birds and mammals with respect to the biochemical characteristics of its tyrosine kinase activity, although the specific function of this enzymatic activity still remains to be uncovered. 3. Systematic studies on the src related kinase activity in lower animals are lacking. 4. To contribute to a better understanding of the function of the c-src gene, we performed a comparative study on lower chordates. 5. We were able to demonstrate the presence of c-src related sequences in Acrania, Cyclostomata, cartilagenous and bony fish. 6. By performing the pp60src-specific immune complex assay we detected a tyrosine specific kinase activity, that shows the same biochemical properties as the pp60c-src from higher vertebrates. 7. The level of kinase activity is regulated in an organ specific manner. 8. In lymphocystis tumors of flat-fish and in stomatopapilloma of freshwater eels a considerable amount of pp60c-src kinase activity was found, which, however, never exceeded the levels found in the normal brain. Author.","author":[{"dropping-particle":"","family":"CCRC","given":"","non-dropping-particle":"","parse-names":false,"suffix":""}],"container-title":"Cancer Chemoprevention Research Center Fakultas Farmasi UGM","id":"ITEM-4","issued":{"date-parts":[["2012"]]},"page":"6-9","title":"Uji Sitotoksik Metode MTT","type":"article-journal"},"uris":["http://www.mendeley.com/documents/?uuid=88388afa-380b-4df2-b790-170435746552"]}],"mendeley":{"formattedCitation":"(CCRC, 2009b, 2009a, 2009c, 2012)","manualFormatting":"CCRC, (2009, 2012)","plainTextFormattedCitation":"(CCRC, 2009b, 2009a, 2009c, 2012)","previouslyFormattedCitation":"(CCRC, 2009b, 2009a, 2009c, 2012)"},"properties":{"noteIndex":0},"schema":"https://github.com/citation-style-language/schema/raw/master/csl-citation.json"}</w:instrText>
      </w:r>
      <w:r w:rsidR="00D73132" w:rsidRPr="00A04650">
        <w:rPr>
          <w:rFonts w:ascii="Times New Roman" w:hAnsi="Times New Roman"/>
          <w:color w:val="0F0F0F"/>
          <w:sz w:val="24"/>
          <w:szCs w:val="24"/>
          <w:shd w:val="clear" w:color="auto" w:fill="FFFFFF"/>
          <w:lang w:val="id-ID"/>
        </w:rPr>
        <w:fldChar w:fldCharType="separate"/>
      </w:r>
      <w:r w:rsidR="00D73132" w:rsidRPr="00A04650">
        <w:rPr>
          <w:rFonts w:ascii="Times New Roman" w:hAnsi="Times New Roman"/>
          <w:noProof/>
          <w:color w:val="0F0F0F"/>
          <w:sz w:val="24"/>
          <w:szCs w:val="24"/>
          <w:shd w:val="clear" w:color="auto" w:fill="FFFFFF"/>
          <w:lang w:val="id-ID"/>
        </w:rPr>
        <w:t>CCRC, (2009, 2012)</w:t>
      </w:r>
      <w:r w:rsidR="00D73132" w:rsidRPr="00A04650">
        <w:rPr>
          <w:rFonts w:ascii="Times New Roman" w:hAnsi="Times New Roman"/>
          <w:color w:val="0F0F0F"/>
          <w:sz w:val="24"/>
          <w:szCs w:val="24"/>
          <w:shd w:val="clear" w:color="auto" w:fill="FFFFFF"/>
          <w:lang w:val="id-ID"/>
        </w:rPr>
        <w:fldChar w:fldCharType="end"/>
      </w:r>
      <w:r w:rsidRPr="00AB7944">
        <w:rPr>
          <w:rFonts w:ascii="Times New Roman" w:hAnsi="Times New Roman"/>
          <w:sz w:val="24"/>
          <w:szCs w:val="24"/>
        </w:rPr>
        <w:t>. T47D cells were cultured to 80% confluence in a CO</w:t>
      </w:r>
      <w:r w:rsidRPr="00993619">
        <w:rPr>
          <w:rFonts w:ascii="Times New Roman" w:hAnsi="Times New Roman"/>
          <w:sz w:val="24"/>
          <w:szCs w:val="24"/>
          <w:vertAlign w:val="subscript"/>
        </w:rPr>
        <w:t>2</w:t>
      </w:r>
      <w:r w:rsidRPr="00AB7944">
        <w:rPr>
          <w:rFonts w:ascii="Times New Roman" w:hAnsi="Times New Roman"/>
          <w:sz w:val="24"/>
          <w:szCs w:val="24"/>
        </w:rPr>
        <w:t xml:space="preserve"> incubator, then detached using trypsin-EDTA (0.25%) </w:t>
      </w:r>
      <w:r w:rsidR="005500A9">
        <w:rPr>
          <w:rFonts w:ascii="Times New Roman" w:hAnsi="Times New Roman"/>
          <w:sz w:val="24"/>
          <w:szCs w:val="24"/>
        </w:rPr>
        <w:t>and subsequently resuspended in</w:t>
      </w:r>
      <w:r w:rsidR="005500A9">
        <w:rPr>
          <w:rFonts w:ascii="Times New Roman" w:hAnsi="Times New Roman"/>
          <w:sz w:val="24"/>
          <w:szCs w:val="24"/>
          <w:lang w:val="id-ID"/>
        </w:rPr>
        <w:t xml:space="preserve"> </w:t>
      </w:r>
      <w:r w:rsidRPr="00AB7944">
        <w:rPr>
          <w:rFonts w:ascii="Times New Roman" w:hAnsi="Times New Roman"/>
          <w:sz w:val="24"/>
          <w:szCs w:val="24"/>
        </w:rPr>
        <w:t>RPMI media. After cell counting using a hemacyto</w:t>
      </w:r>
      <w:r>
        <w:rPr>
          <w:rFonts w:ascii="Times New Roman" w:hAnsi="Times New Roman"/>
          <w:sz w:val="24"/>
          <w:szCs w:val="24"/>
        </w:rPr>
        <w:t>meter, cells were seeded at 1×</w:t>
      </w:r>
      <w:r w:rsidRPr="00AB7944">
        <w:rPr>
          <w:rFonts w:ascii="Times New Roman" w:hAnsi="Times New Roman"/>
          <w:sz w:val="24"/>
          <w:szCs w:val="24"/>
        </w:rPr>
        <w:t>10</w:t>
      </w:r>
      <w:r w:rsidRPr="00AB7944">
        <w:rPr>
          <w:rFonts w:ascii="Times New Roman" w:hAnsi="Times New Roman"/>
          <w:sz w:val="24"/>
          <w:szCs w:val="24"/>
          <w:vertAlign w:val="superscript"/>
        </w:rPr>
        <w:t>4</w:t>
      </w:r>
      <w:r w:rsidRPr="00AB7944">
        <w:rPr>
          <w:rFonts w:ascii="Times New Roman" w:hAnsi="Times New Roman"/>
          <w:sz w:val="24"/>
          <w:szCs w:val="24"/>
        </w:rPr>
        <w:t xml:space="preserve"> cells per well in a 96-well microplate, except for the media control well, and incubated for 24 hours. A test sample (20 mg) was dissolved in 200 µL DMSO and added to the wells in concentration series (1000, 500, 250, 125, 62.5 µg/mL) in triplicate, with rosella flowers s</w:t>
      </w:r>
      <w:r>
        <w:rPr>
          <w:rFonts w:ascii="Times New Roman" w:hAnsi="Times New Roman"/>
          <w:sz w:val="24"/>
          <w:szCs w:val="24"/>
        </w:rPr>
        <w:t>erving as the negative control.</w:t>
      </w:r>
      <w:r>
        <w:rPr>
          <w:rFonts w:ascii="Times New Roman" w:hAnsi="Times New Roman"/>
          <w:sz w:val="24"/>
          <w:szCs w:val="24"/>
          <w:lang w:val="id-ID"/>
        </w:rPr>
        <w:t xml:space="preserve"> </w:t>
      </w:r>
      <w:r w:rsidRPr="00AB7944">
        <w:rPr>
          <w:rFonts w:ascii="Times New Roman" w:hAnsi="Times New Roman"/>
          <w:sz w:val="24"/>
          <w:szCs w:val="24"/>
        </w:rPr>
        <w:t>After 24 hours of incubation, cell viability was assessed using the MTT assay. Briefly, MTT reagent (100 µL) was added t</w:t>
      </w:r>
      <w:r w:rsidR="00DF083E">
        <w:rPr>
          <w:rFonts w:ascii="Times New Roman" w:hAnsi="Times New Roman"/>
          <w:sz w:val="24"/>
          <w:szCs w:val="24"/>
        </w:rPr>
        <w:t xml:space="preserve">o each well and incubated for </w:t>
      </w:r>
      <w:r w:rsidRPr="00AB7944">
        <w:rPr>
          <w:rFonts w:ascii="Times New Roman" w:hAnsi="Times New Roman"/>
          <w:sz w:val="24"/>
          <w:szCs w:val="24"/>
        </w:rPr>
        <w:t>4 hours, followed by addition of 10% SDS in 0.01 N HCl (100 µL) to solubilize formazan crystals. The plate was then wrapped in foil and incubated overnight at room temperature in the dark. Absorbance readings were performed at 559 nm using an ELISA reader to quantify cell viability.</w:t>
      </w:r>
      <w:r>
        <w:rPr>
          <w:rFonts w:ascii="Times New Roman" w:hAnsi="Times New Roman"/>
          <w:sz w:val="24"/>
          <w:szCs w:val="24"/>
          <w:lang w:val="id-ID"/>
        </w:rPr>
        <w:t xml:space="preserve"> </w:t>
      </w:r>
      <w:r w:rsidRPr="00AB7944">
        <w:rPr>
          <w:rFonts w:ascii="Times New Roman" w:hAnsi="Times New Roman"/>
          <w:sz w:val="24"/>
          <w:szCs w:val="24"/>
        </w:rPr>
        <w:t>This experimental approach adheres to standardized methods for assessing cytotoxic effects of natural compounds on cancer cell lines and ensures reliable data for further analysis and interpretation.</w:t>
      </w:r>
      <w:r w:rsidR="002D4088">
        <w:rPr>
          <w:rFonts w:ascii="Times New Roman" w:hAnsi="Times New Roman"/>
          <w:sz w:val="24"/>
          <w:szCs w:val="24"/>
          <w:lang w:val="id-ID"/>
        </w:rPr>
        <w:t xml:space="preserve"> </w:t>
      </w:r>
    </w:p>
    <w:p w14:paraId="5E8B4BB8" w14:textId="77777777" w:rsidR="00A04650" w:rsidRPr="00A04650" w:rsidRDefault="00E31158" w:rsidP="005500A9">
      <w:pPr>
        <w:pBdr>
          <w:top w:val="nil"/>
          <w:left w:val="nil"/>
          <w:bottom w:val="nil"/>
          <w:right w:val="nil"/>
          <w:between w:val="nil"/>
        </w:pBdr>
        <w:shd w:val="clear" w:color="auto" w:fill="FFFFFF"/>
        <w:spacing w:before="240" w:after="0" w:line="480" w:lineRule="auto"/>
        <w:jc w:val="both"/>
        <w:rPr>
          <w:rFonts w:ascii="Times New Roman" w:hAnsi="Times New Roman"/>
          <w:b/>
          <w:color w:val="000000"/>
          <w:sz w:val="24"/>
          <w:szCs w:val="24"/>
          <w:lang w:val="id-ID"/>
        </w:rPr>
      </w:pPr>
      <w:r>
        <w:rPr>
          <w:rFonts w:ascii="Times New Roman" w:hAnsi="Times New Roman"/>
          <w:b/>
          <w:color w:val="000000"/>
          <w:sz w:val="24"/>
          <w:szCs w:val="24"/>
          <w:lang w:val="id-ID"/>
        </w:rPr>
        <w:lastRenderedPageBreak/>
        <w:t>Water Content Analysis</w:t>
      </w:r>
    </w:p>
    <w:p w14:paraId="20E4CAB5" w14:textId="77777777" w:rsidR="00A04650" w:rsidRPr="00A04650" w:rsidRDefault="00D87230" w:rsidP="005500A9">
      <w:pPr>
        <w:pBdr>
          <w:top w:val="nil"/>
          <w:left w:val="nil"/>
          <w:bottom w:val="nil"/>
          <w:right w:val="nil"/>
          <w:between w:val="nil"/>
        </w:pBdr>
        <w:shd w:val="clear" w:color="auto" w:fill="FFFFFF"/>
        <w:spacing w:after="240" w:line="480" w:lineRule="auto"/>
        <w:ind w:firstLine="720"/>
        <w:jc w:val="both"/>
        <w:rPr>
          <w:rFonts w:ascii="Times New Roman" w:hAnsi="Times New Roman"/>
          <w:color w:val="000000"/>
          <w:sz w:val="24"/>
          <w:szCs w:val="24"/>
          <w:lang w:val="id-ID"/>
        </w:rPr>
      </w:pPr>
      <w:r w:rsidRPr="00D87230">
        <w:rPr>
          <w:rFonts w:ascii="Times New Roman" w:hAnsi="Times New Roman"/>
          <w:color w:val="000000"/>
          <w:sz w:val="24"/>
          <w:szCs w:val="24"/>
          <w:lang w:val="id-ID"/>
        </w:rPr>
        <w:t xml:space="preserve">The water content analysis of rosella tea was conducted </w:t>
      </w:r>
      <w:r>
        <w:rPr>
          <w:rFonts w:ascii="Times New Roman" w:hAnsi="Times New Roman"/>
          <w:color w:val="000000"/>
          <w:sz w:val="24"/>
          <w:szCs w:val="24"/>
          <w:lang w:val="id-ID"/>
        </w:rPr>
        <w:t xml:space="preserve">following by </w:t>
      </w:r>
      <w:r w:rsidRPr="00D87230">
        <w:rPr>
          <w:rFonts w:ascii="Times New Roman" w:hAnsi="Times New Roman"/>
          <w:color w:val="000000"/>
          <w:sz w:val="24"/>
          <w:szCs w:val="24"/>
          <w:lang w:val="id-ID"/>
        </w:rPr>
        <w:t>standards specified in SNI 3836:2013, utilizing the oven drying method. Porcelain cups, labeled with specific sample codes, were heated in a Memmert TV30U oven at a cont</w:t>
      </w:r>
      <w:r>
        <w:rPr>
          <w:rFonts w:ascii="Times New Roman" w:hAnsi="Times New Roman"/>
          <w:color w:val="000000"/>
          <w:sz w:val="24"/>
          <w:szCs w:val="24"/>
          <w:lang w:val="id-ID"/>
        </w:rPr>
        <w:t>rolled temperature of (105 ± 2)</w:t>
      </w:r>
      <w:r w:rsidRPr="00D87230">
        <w:rPr>
          <w:rFonts w:ascii="Times New Roman" w:hAnsi="Times New Roman"/>
          <w:color w:val="000000"/>
          <w:sz w:val="24"/>
          <w:szCs w:val="24"/>
          <w:lang w:val="id-ID"/>
        </w:rPr>
        <w:t>°C for one hour to achieve thermal equilibrium. Each cup was then transferred to a desiccator and weighed to determine its initial weight (W0). A precisely measured 2 g sample was placed in the cup, and the combined weight was recorded (W1). The loaded cup was returned to the Memmert TV30U oven, wher</w:t>
      </w:r>
      <w:r>
        <w:rPr>
          <w:rFonts w:ascii="Times New Roman" w:hAnsi="Times New Roman"/>
          <w:color w:val="000000"/>
          <w:sz w:val="24"/>
          <w:szCs w:val="24"/>
          <w:lang w:val="id-ID"/>
        </w:rPr>
        <w:t>e it remained open at (105 ± 2)</w:t>
      </w:r>
      <w:r w:rsidRPr="00D87230">
        <w:rPr>
          <w:rFonts w:ascii="Times New Roman" w:hAnsi="Times New Roman"/>
          <w:color w:val="000000"/>
          <w:sz w:val="24"/>
          <w:szCs w:val="24"/>
          <w:lang w:val="id-ID"/>
        </w:rPr>
        <w:t>°C for three hours. After each heating cycle, the cup was transferred to a desiccator for approximately 30 minutes to cool to ambient temperature before being reweighed until a constant weight (W2) was obtained, with a precision of ≤ 1 mg. This procedure was repeated three times to ensure the reproducibility and accuracy of the results (SNI, 2013). The water content (%) was calculated as the weight loss of the cup from its initial to its final dried state, normalized to the initial weight of the sample, and multiplied by one hundred.</w:t>
      </w:r>
    </w:p>
    <w:p w14:paraId="044134B6" w14:textId="77777777" w:rsidR="00A04650" w:rsidRPr="00A04650" w:rsidRDefault="00E31158" w:rsidP="005500A9">
      <w:pPr>
        <w:pBdr>
          <w:top w:val="nil"/>
          <w:left w:val="nil"/>
          <w:bottom w:val="nil"/>
          <w:right w:val="nil"/>
          <w:between w:val="nil"/>
        </w:pBdr>
        <w:shd w:val="clear" w:color="auto" w:fill="FFFFFF"/>
        <w:spacing w:before="240" w:after="0" w:line="480" w:lineRule="auto"/>
        <w:jc w:val="both"/>
        <w:rPr>
          <w:rFonts w:ascii="Times New Roman" w:hAnsi="Times New Roman"/>
          <w:b/>
          <w:color w:val="000000"/>
          <w:sz w:val="24"/>
          <w:szCs w:val="24"/>
          <w:lang w:val="id-ID"/>
        </w:rPr>
      </w:pPr>
      <w:r>
        <w:rPr>
          <w:rFonts w:ascii="Times New Roman" w:hAnsi="Times New Roman"/>
          <w:b/>
          <w:color w:val="000000"/>
          <w:sz w:val="24"/>
          <w:szCs w:val="24"/>
          <w:lang w:val="id-ID"/>
        </w:rPr>
        <w:t>Total Ash Content Analysis</w:t>
      </w:r>
    </w:p>
    <w:p w14:paraId="548FCB03" w14:textId="77777777" w:rsidR="00A04650" w:rsidRPr="00E31158" w:rsidRDefault="00E31158" w:rsidP="005500A9">
      <w:pPr>
        <w:pBdr>
          <w:top w:val="nil"/>
          <w:left w:val="nil"/>
          <w:bottom w:val="nil"/>
          <w:right w:val="nil"/>
          <w:between w:val="nil"/>
        </w:pBdr>
        <w:shd w:val="clear" w:color="auto" w:fill="FFFFFF"/>
        <w:spacing w:after="240" w:line="480" w:lineRule="auto"/>
        <w:ind w:firstLine="720"/>
        <w:jc w:val="both"/>
        <w:rPr>
          <w:rFonts w:ascii="Times New Roman" w:hAnsi="Times New Roman"/>
          <w:sz w:val="24"/>
          <w:szCs w:val="24"/>
        </w:rPr>
      </w:pPr>
      <w:r w:rsidRPr="00E31158">
        <w:rPr>
          <w:rFonts w:ascii="Times New Roman" w:hAnsi="Times New Roman"/>
          <w:sz w:val="24"/>
          <w:szCs w:val="24"/>
        </w:rPr>
        <w:t xml:space="preserve">The ash content analysis was conducted according to SNI 3836:2013 using the thermogravimetric method. Initially, the porcelain ash cup was heated in a </w:t>
      </w:r>
      <w:proofErr w:type="spellStart"/>
      <w:r w:rsidRPr="00E31158">
        <w:rPr>
          <w:rFonts w:ascii="Times New Roman" w:hAnsi="Times New Roman"/>
          <w:sz w:val="24"/>
          <w:szCs w:val="24"/>
        </w:rPr>
        <w:t>Memmert</w:t>
      </w:r>
      <w:proofErr w:type="spellEnd"/>
      <w:r w:rsidRPr="00E31158">
        <w:rPr>
          <w:rFonts w:ascii="Times New Roman" w:hAnsi="Times New Roman"/>
          <w:sz w:val="24"/>
          <w:szCs w:val="24"/>
        </w:rPr>
        <w:t xml:space="preserve"> TV30U oven at (105 ± </w:t>
      </w:r>
      <w:proofErr w:type="gramStart"/>
      <w:r w:rsidRPr="00E31158">
        <w:rPr>
          <w:rFonts w:ascii="Times New Roman" w:hAnsi="Times New Roman"/>
          <w:sz w:val="24"/>
          <w:szCs w:val="24"/>
        </w:rPr>
        <w:t>2)°</w:t>
      </w:r>
      <w:proofErr w:type="gramEnd"/>
      <w:r w:rsidRPr="00E31158">
        <w:rPr>
          <w:rFonts w:ascii="Times New Roman" w:hAnsi="Times New Roman"/>
          <w:sz w:val="24"/>
          <w:szCs w:val="24"/>
        </w:rPr>
        <w:t xml:space="preserve">C for approximately one hour, followed by equilibration in a desiccator until reaching ambient temperature. The initial weight of the empty porcelain cup (W0) was recorded, and subsequently, 2 g of the sample was placed in the cup and weighed (W1). The cup containing the sample was then subjected to heating in a </w:t>
      </w:r>
      <w:proofErr w:type="spellStart"/>
      <w:r w:rsidRPr="00E31158">
        <w:rPr>
          <w:rFonts w:ascii="Times New Roman" w:hAnsi="Times New Roman"/>
          <w:sz w:val="24"/>
          <w:szCs w:val="24"/>
        </w:rPr>
        <w:t>Nabertherm</w:t>
      </w:r>
      <w:proofErr w:type="spellEnd"/>
      <w:r w:rsidRPr="00E31158">
        <w:rPr>
          <w:rFonts w:ascii="Times New Roman" w:hAnsi="Times New Roman"/>
          <w:sz w:val="24"/>
          <w:szCs w:val="24"/>
        </w:rPr>
        <w:t xml:space="preserve"> N3/R furnace at (525 ± 25)°C until complete </w:t>
      </w:r>
      <w:proofErr w:type="spellStart"/>
      <w:r w:rsidRPr="00E31158">
        <w:rPr>
          <w:rFonts w:ascii="Times New Roman" w:hAnsi="Times New Roman"/>
          <w:sz w:val="24"/>
          <w:szCs w:val="24"/>
        </w:rPr>
        <w:t>ashing</w:t>
      </w:r>
      <w:proofErr w:type="spellEnd"/>
      <w:r w:rsidRPr="00E31158">
        <w:rPr>
          <w:rFonts w:ascii="Times New Roman" w:hAnsi="Times New Roman"/>
          <w:sz w:val="24"/>
          <w:szCs w:val="24"/>
        </w:rPr>
        <w:t xml:space="preserve"> occurred, indicated by the formation of white ash. Post-</w:t>
      </w:r>
      <w:proofErr w:type="spellStart"/>
      <w:r w:rsidRPr="00E31158">
        <w:rPr>
          <w:rFonts w:ascii="Times New Roman" w:hAnsi="Times New Roman"/>
          <w:sz w:val="24"/>
          <w:szCs w:val="24"/>
        </w:rPr>
        <w:t>ashing</w:t>
      </w:r>
      <w:proofErr w:type="spellEnd"/>
      <w:r w:rsidRPr="00E31158">
        <w:rPr>
          <w:rFonts w:ascii="Times New Roman" w:hAnsi="Times New Roman"/>
          <w:sz w:val="24"/>
          <w:szCs w:val="24"/>
        </w:rPr>
        <w:t>, the cup was allowed to cool in a desiccator to room temperature and reweighed (W2). This procedure was repeated three times in accordance with the specificati</w:t>
      </w:r>
      <w:r>
        <w:rPr>
          <w:rFonts w:ascii="Times New Roman" w:hAnsi="Times New Roman"/>
          <w:sz w:val="24"/>
          <w:szCs w:val="24"/>
        </w:rPr>
        <w:t xml:space="preserve">ons outlined in SNI 3836:2013. </w:t>
      </w:r>
      <w:r w:rsidRPr="00E31158">
        <w:rPr>
          <w:rFonts w:ascii="Times New Roman" w:hAnsi="Times New Roman"/>
          <w:sz w:val="24"/>
          <w:szCs w:val="24"/>
        </w:rPr>
        <w:t xml:space="preserve">The ash content was determined by subtracting the weight of the empty porcelain </w:t>
      </w:r>
      <w:r w:rsidRPr="00E31158">
        <w:rPr>
          <w:rFonts w:ascii="Times New Roman" w:hAnsi="Times New Roman"/>
          <w:sz w:val="24"/>
          <w:szCs w:val="24"/>
        </w:rPr>
        <w:lastRenderedPageBreak/>
        <w:t>cup (W0) from the final weight (W2), dividing by the weight of the sample (W1), and multiplying by one hundred to obtain the percentage ash content.</w:t>
      </w:r>
    </w:p>
    <w:p w14:paraId="2B6C01F7" w14:textId="77777777" w:rsidR="00A04650" w:rsidRPr="00A04650" w:rsidRDefault="00A04650" w:rsidP="005500A9">
      <w:pPr>
        <w:pBdr>
          <w:top w:val="nil"/>
          <w:left w:val="nil"/>
          <w:bottom w:val="nil"/>
          <w:right w:val="nil"/>
          <w:between w:val="nil"/>
        </w:pBdr>
        <w:shd w:val="clear" w:color="auto" w:fill="FFFFFF"/>
        <w:spacing w:before="240" w:after="0" w:line="480" w:lineRule="auto"/>
        <w:jc w:val="both"/>
        <w:rPr>
          <w:rFonts w:ascii="Times New Roman" w:hAnsi="Times New Roman"/>
          <w:b/>
          <w:color w:val="000000"/>
          <w:sz w:val="24"/>
          <w:szCs w:val="24"/>
          <w:lang w:val="id-ID"/>
        </w:rPr>
      </w:pPr>
      <w:r w:rsidRPr="00A04650">
        <w:rPr>
          <w:rFonts w:ascii="Times New Roman" w:hAnsi="Times New Roman"/>
          <w:b/>
          <w:color w:val="000000"/>
          <w:sz w:val="24"/>
          <w:szCs w:val="24"/>
          <w:lang w:val="id-ID"/>
        </w:rPr>
        <w:t>GC-MS</w:t>
      </w:r>
      <w:r w:rsidR="00E31158">
        <w:rPr>
          <w:rFonts w:ascii="Times New Roman" w:hAnsi="Times New Roman"/>
          <w:b/>
          <w:color w:val="000000"/>
          <w:sz w:val="24"/>
          <w:szCs w:val="24"/>
          <w:lang w:val="id-ID"/>
        </w:rPr>
        <w:t xml:space="preserve"> Analysis</w:t>
      </w:r>
    </w:p>
    <w:p w14:paraId="69942C55" w14:textId="77777777" w:rsidR="00CF4C13" w:rsidRPr="00A04650" w:rsidRDefault="00E31158" w:rsidP="005500A9">
      <w:pPr>
        <w:spacing w:after="0" w:line="480" w:lineRule="auto"/>
        <w:ind w:firstLine="720"/>
        <w:jc w:val="both"/>
        <w:rPr>
          <w:rFonts w:ascii="Times New Roman" w:hAnsi="Times New Roman"/>
          <w:sz w:val="24"/>
          <w:szCs w:val="24"/>
        </w:rPr>
      </w:pPr>
      <w:r w:rsidRPr="00E31158">
        <w:rPr>
          <w:rFonts w:ascii="Times New Roman" w:hAnsi="Times New Roman"/>
          <w:sz w:val="24"/>
          <w:szCs w:val="24"/>
          <w:lang w:val="id-ID"/>
        </w:rPr>
        <w:t>GC-MS analysis was performed on the tea sample exhibiting the highest cytotoxic activity. One gram of tea was extracted using 150 mL of boiling water, undergoing a 30-minute extraction period with initial agitation for 5 minutes. Following extraction, the tea was filtered and transferred to a separatory funnel. Subsequently, 10 mL of n-hexane was added to the separatory funnel and vigorously shaken until phase separation occurred, yielding distinct aqueous and n-hexane phases. The aqueous phase was decanted, leaving the n-hexane phase, which was then transferred to a vial and subjected to solvent evaporation at ambient temperature</w:t>
      </w:r>
      <w:r w:rsidR="00D73132">
        <w:rPr>
          <w:rFonts w:ascii="Times New Roman" w:hAnsi="Times New Roman"/>
          <w:sz w:val="24"/>
          <w:szCs w:val="24"/>
          <w:lang w:val="id-ID"/>
        </w:rPr>
        <w:t xml:space="preserve"> </w:t>
      </w:r>
      <w:r w:rsidR="00D73132">
        <w:rPr>
          <w:rFonts w:ascii="Times New Roman" w:hAnsi="Times New Roman"/>
          <w:sz w:val="24"/>
          <w:szCs w:val="24"/>
          <w:lang w:val="id-ID"/>
        </w:rPr>
        <w:fldChar w:fldCharType="begin" w:fldLock="1"/>
      </w:r>
      <w:r w:rsidR="00D73132">
        <w:rPr>
          <w:rFonts w:ascii="Times New Roman" w:hAnsi="Times New Roman"/>
          <w:sz w:val="24"/>
          <w:szCs w:val="24"/>
          <w:lang w:val="id-ID"/>
        </w:rPr>
        <w:instrText>ADDIN CSL_CITATION {"citationItems":[{"id":"ITEM-1","itemData":{"DOI":"10.29244/cb.6.2.5","ISSN":"2355-7877","abstract":"Green tea (Camellia sinensis) is one of tradisional plants that have potential as anticancer. Thesample used in this research was commercial green tea extract. The purpose of this study was to test theantiproliferation activity of green tea extract on breast cancer cell MCM-B2 in vitro. Green tea extract wasfractionated using three solvents, ie water, ethanol 70%, and n-hexane. Extract and water fraction of greentea have Lethality Concentration 50 (LC50) value of more than 1000 ppm. Fractions of ethanol 70% and nhexane had an LC50 value of 883.48 ppm and 600.56 ppm, respectively. The results of phytochemicalscreening of green tea extract are flavonoids, tannins, and saponins, while the phytochemical screeningresults of n-hexane fraction are flavonoids and tannins. Antiproliferation activity was tested on breast cancercells MCM-B2 and normal cells Vero by tripan blue staining method. The highest MCM-B2 cell inhibitoryactivity was achieved at a concentration of 13000 ppm green tea extract and 1000 ppm of n-hexane fraction,59% and 59%, respectively. The extract and n-hexane fraction of green tea are not toxic to normal Verocells characterized by not inhibiting normal cell proliferation.","author":[{"dropping-particle":"","family":"Noraida","given":"Lisni","non-dropping-particle":"","parse-names":false,"suffix":""},{"dropping-particle":"","family":"Bintang","given":"Maria","non-dropping-particle":"","parse-names":false,"suffix":""},{"dropping-particle":"","family":"Priosoeryanto","given":"Bambang Pontjo","non-dropping-particle":"","parse-names":false,"suffix":""}],"container-title":"Current Biochemistry","id":"ITEM-1","issue":"2","issued":{"date-parts":[["2021"]]},"page":"92-105","title":"N-hexane Extract and Fraction of Green Tea as Antiproliferation of MCM-B2 Breast Cancer Cells In Vitro","type":"article-journal","volume":"6"},"uris":["http://www.mendeley.com/documents/?uuid=537c7bf0-118f-460c-bc05-263825c3422c"]}],"mendeley":{"formattedCitation":"(Noraida et al., 2021)","plainTextFormattedCitation":"(Noraida et al., 2021)","previouslyFormattedCitation":"(Noraida et al., 2021)"},"properties":{"noteIndex":0},"schema":"https://github.com/citation-style-language/schema/raw/master/csl-citation.json"}</w:instrText>
      </w:r>
      <w:r w:rsidR="00D73132">
        <w:rPr>
          <w:rFonts w:ascii="Times New Roman" w:hAnsi="Times New Roman"/>
          <w:sz w:val="24"/>
          <w:szCs w:val="24"/>
          <w:lang w:val="id-ID"/>
        </w:rPr>
        <w:fldChar w:fldCharType="separate"/>
      </w:r>
      <w:r w:rsidR="00D73132" w:rsidRPr="00D73132">
        <w:rPr>
          <w:rFonts w:ascii="Times New Roman" w:hAnsi="Times New Roman"/>
          <w:noProof/>
          <w:sz w:val="24"/>
          <w:szCs w:val="24"/>
          <w:lang w:val="id-ID"/>
        </w:rPr>
        <w:t>(Noraida et al., 2021)</w:t>
      </w:r>
      <w:r w:rsidR="00D73132">
        <w:rPr>
          <w:rFonts w:ascii="Times New Roman" w:hAnsi="Times New Roman"/>
          <w:sz w:val="24"/>
          <w:szCs w:val="24"/>
          <w:lang w:val="id-ID"/>
        </w:rPr>
        <w:fldChar w:fldCharType="end"/>
      </w:r>
      <w:r w:rsidRPr="00E31158">
        <w:rPr>
          <w:rFonts w:ascii="Times New Roman" w:hAnsi="Times New Roman"/>
          <w:sz w:val="24"/>
          <w:szCs w:val="24"/>
          <w:lang w:val="id-ID"/>
        </w:rPr>
        <w:t xml:space="preserve">. The resulting dried extract was subsequently analyzed using a GC-MS QP2010 instrument at the Organic Chemistry Laboratory of </w:t>
      </w:r>
      <w:r>
        <w:rPr>
          <w:rFonts w:ascii="Times New Roman" w:hAnsi="Times New Roman"/>
          <w:sz w:val="24"/>
          <w:szCs w:val="24"/>
          <w:lang w:val="id-ID"/>
        </w:rPr>
        <w:t>Universitas Negeri Semarang</w:t>
      </w:r>
      <w:r w:rsidRPr="00E31158">
        <w:rPr>
          <w:rFonts w:ascii="Times New Roman" w:hAnsi="Times New Roman"/>
          <w:sz w:val="24"/>
          <w:szCs w:val="24"/>
          <w:lang w:val="id-ID"/>
        </w:rPr>
        <w:t>.</w:t>
      </w:r>
    </w:p>
    <w:p w14:paraId="74759D48" w14:textId="77777777" w:rsidR="00A04650" w:rsidRPr="00A04650" w:rsidRDefault="00A04650" w:rsidP="005500A9">
      <w:pPr>
        <w:spacing w:after="0" w:line="480" w:lineRule="auto"/>
        <w:jc w:val="both"/>
        <w:rPr>
          <w:rFonts w:ascii="Times New Roman" w:hAnsi="Times New Roman"/>
          <w:sz w:val="24"/>
          <w:szCs w:val="24"/>
          <w:lang w:val="id-ID"/>
        </w:rPr>
      </w:pPr>
    </w:p>
    <w:p w14:paraId="5F1FBC47" w14:textId="77777777" w:rsidR="00BE522B" w:rsidRPr="00286C29" w:rsidRDefault="00D25494" w:rsidP="005500A9">
      <w:pPr>
        <w:spacing w:after="0" w:line="480" w:lineRule="auto"/>
        <w:jc w:val="both"/>
        <w:rPr>
          <w:rFonts w:ascii="Times New Roman" w:hAnsi="Times New Roman"/>
          <w:b/>
          <w:sz w:val="24"/>
          <w:szCs w:val="24"/>
          <w:lang w:val="id-ID"/>
        </w:rPr>
      </w:pPr>
      <w:r>
        <w:rPr>
          <w:rFonts w:ascii="Times New Roman" w:hAnsi="Times New Roman"/>
          <w:b/>
          <w:sz w:val="24"/>
          <w:szCs w:val="24"/>
          <w:lang w:val="id-ID"/>
        </w:rPr>
        <w:t>RESULTS</w:t>
      </w:r>
    </w:p>
    <w:p w14:paraId="5F86EA00" w14:textId="77777777" w:rsidR="002D4088" w:rsidRPr="002D4088" w:rsidRDefault="00E31158" w:rsidP="005500A9">
      <w:pPr>
        <w:spacing w:after="0" w:line="480" w:lineRule="auto"/>
        <w:jc w:val="both"/>
        <w:rPr>
          <w:rFonts w:ascii="Times New Roman" w:hAnsi="Times New Roman"/>
          <w:b/>
          <w:sz w:val="24"/>
          <w:szCs w:val="24"/>
          <w:lang w:val="id-ID"/>
        </w:rPr>
      </w:pPr>
      <w:r>
        <w:rPr>
          <w:rFonts w:ascii="Times New Roman" w:hAnsi="Times New Roman"/>
          <w:b/>
          <w:sz w:val="24"/>
          <w:szCs w:val="24"/>
          <w:lang w:val="id-ID"/>
        </w:rPr>
        <w:t>Determination of Compounds in Materials</w:t>
      </w:r>
    </w:p>
    <w:p w14:paraId="55CBE5A7" w14:textId="77777777" w:rsidR="00CF4C13" w:rsidRPr="002D4088" w:rsidRDefault="00E31158" w:rsidP="005500A9">
      <w:pPr>
        <w:spacing w:line="480" w:lineRule="auto"/>
        <w:ind w:firstLine="720"/>
        <w:jc w:val="both"/>
        <w:rPr>
          <w:rFonts w:ascii="Times New Roman" w:hAnsi="Times New Roman"/>
          <w:sz w:val="24"/>
          <w:szCs w:val="24"/>
        </w:rPr>
      </w:pPr>
      <w:r w:rsidRPr="00E31158">
        <w:rPr>
          <w:rFonts w:ascii="Times New Roman" w:hAnsi="Times New Roman"/>
          <w:sz w:val="24"/>
          <w:szCs w:val="24"/>
        </w:rPr>
        <w:t xml:space="preserve">The analysis of volatile components in lemongrass essential oil revealed fourteen distinct compounds, with </w:t>
      </w:r>
      <w:r w:rsidRPr="00D87230">
        <w:rPr>
          <w:rFonts w:ascii="Times New Roman" w:hAnsi="Times New Roman"/>
          <w:i/>
          <w:sz w:val="24"/>
          <w:szCs w:val="24"/>
        </w:rPr>
        <w:t>(E)-</w:t>
      </w:r>
      <w:proofErr w:type="spellStart"/>
      <w:r w:rsidRPr="00E31158">
        <w:rPr>
          <w:rFonts w:ascii="Times New Roman" w:hAnsi="Times New Roman"/>
          <w:sz w:val="24"/>
          <w:szCs w:val="24"/>
        </w:rPr>
        <w:t>Citral</w:t>
      </w:r>
      <w:proofErr w:type="spellEnd"/>
      <w:r w:rsidRPr="00E31158">
        <w:rPr>
          <w:rFonts w:ascii="Times New Roman" w:hAnsi="Times New Roman"/>
          <w:sz w:val="24"/>
          <w:szCs w:val="24"/>
        </w:rPr>
        <w:t xml:space="preserve"> constituting the majority at 50.15% and </w:t>
      </w:r>
      <w:r w:rsidRPr="00D87230">
        <w:rPr>
          <w:rFonts w:ascii="Times New Roman" w:hAnsi="Times New Roman"/>
          <w:i/>
          <w:sz w:val="24"/>
          <w:szCs w:val="24"/>
        </w:rPr>
        <w:t>(Z)-</w:t>
      </w:r>
      <w:proofErr w:type="spellStart"/>
      <w:r w:rsidRPr="00E31158">
        <w:rPr>
          <w:rFonts w:ascii="Times New Roman" w:hAnsi="Times New Roman"/>
          <w:sz w:val="24"/>
          <w:szCs w:val="24"/>
        </w:rPr>
        <w:t>Citral</w:t>
      </w:r>
      <w:proofErr w:type="spellEnd"/>
      <w:r w:rsidRPr="00E31158">
        <w:rPr>
          <w:rFonts w:ascii="Times New Roman" w:hAnsi="Times New Roman"/>
          <w:sz w:val="24"/>
          <w:szCs w:val="24"/>
        </w:rPr>
        <w:t xml:space="preserve"> at 33.58%. Conversely, cinnamon powder predominantly contains cinnamaldehyde (1.76%). Phytochemical analysis of rosella flower petal water extract indicated the presence of flavonoids, tannins, and triterpenoids, while alkaloids and saponins were absent. These findings corroborate previous reports documenting the phytochemical profile of rosella extracts, which similarly identified flavono</w:t>
      </w:r>
      <w:r>
        <w:rPr>
          <w:rFonts w:ascii="Times New Roman" w:hAnsi="Times New Roman"/>
          <w:sz w:val="24"/>
          <w:szCs w:val="24"/>
        </w:rPr>
        <w:t>ids, tannins, and triterpenoids</w:t>
      </w:r>
      <w:r w:rsidR="0051032D">
        <w:rPr>
          <w:rFonts w:ascii="Times New Roman" w:hAnsi="Times New Roman"/>
          <w:noProof/>
          <w:sz w:val="24"/>
          <w:szCs w:val="24"/>
          <w:lang w:val="id-ID"/>
        </w:rPr>
        <w:t xml:space="preserve"> </w:t>
      </w:r>
      <w:r w:rsidR="0051032D">
        <w:rPr>
          <w:rFonts w:ascii="Times New Roman" w:hAnsi="Times New Roman"/>
          <w:noProof/>
          <w:sz w:val="24"/>
          <w:szCs w:val="24"/>
          <w:lang w:val="id-ID"/>
        </w:rPr>
        <w:fldChar w:fldCharType="begin" w:fldLock="1"/>
      </w:r>
      <w:r w:rsidR="0051032D">
        <w:rPr>
          <w:rFonts w:ascii="Times New Roman" w:hAnsi="Times New Roman"/>
          <w:noProof/>
          <w:sz w:val="24"/>
          <w:szCs w:val="24"/>
          <w:lang w:val="id-ID"/>
        </w:rPr>
        <w:instrText>ADDIN CSL_CITATION {"citationItems":[{"id":"ITEM-1","itemData":{"ISSN":"2442-6555","abstract":"Abstrak Latar belakang: Proses pembuatan obat tradisonal memerlukan karakter spesifik yang dapat menjamin kualitas senyawa bioaktif tanaman sehingga memiliki aktivitas farmakologi. Ekstrak yang berkualitas adalah ekstrak yang memenuhi persyaratan standar parameter yang tercantum dalam Farmakope Herbal Indonesia. Tujuan: Untuk mengetahui karakterisasi spesifik ekstrak terpurifikasi kelopak rosella dan pengaruhnya terhadap organ hepar Tikus Wistar secara makroskopis. Metode: Purifikasi ekstrak, karakterisasi parameter spesifik dan pengamatan organ hepar. Analisis data secara deskriptif. Hasil: Parameter sari larut air dengan kadar 24,9 % dan kadar sari larut dalam etanol kadar 30,6%. Deteksi kandungan flavonoid menunjukkan Rf senyawa bioaktif sama dengan Rf quersetin. Simpulan dan saran: Karakter spesifik ekstrak terpurifikasi kelopak rosella memenuhi persyaratan FHI dan melalui pemberian oral ekstrak tidak mempengaruhi organ hepar tikus Wistar. Memerlukan uji aktivitas farmakologi terhadap kelompok hewan uji. Abstract Background: The process of making traditional medicine requires a specific character that can ensure the quality of bioactive compounds that have pharmacological activity. Quality extracts are extracts that meet the requirements of the standard parameters listed in Farmakope Herbal Indonesia. Objectives: determine the specific characterization of purified extract of roselle calyx and their effect on liver organ Wistar Rats as macroscopis. Methods: purification of extracts, characterization of specific parameters and observation of liver organ. Descriptive data analysis. Result: water soluble extract parameter with concentration 24,9 % and soluble extract content of ethanol 30,6%. Detection of flavonoid content showed R f of bioactive compound equal to R f quercetin. Conclusions and suggestions: specific character of purified extract suitable to requirements of FHI and through oral administration of the extract does not affect the Wistar rats liver organ. Requires test of pharmacological activity against animal group of test.","author":[{"dropping-particle":"","family":"Sari","given":"Fita","non-dropping-particle":"","parse-names":false,"suffix":""},{"dropping-particle":"","family":"Aryantini","given":"Dyah","non-dropping-particle":"","parse-names":false,"suffix":""}],"container-title":"Jurnal Wiyata","id":"ITEM-1","issue":"1","issued":{"date-parts":[["2018"]]},"page":"1-9","title":"Karakter Spesifik dan Pengaruh Pemberian Oral Ekstrak Terpurifikasi Kelopak Rosella (Hibiscus sabdariffa L.) terhadap Makroskopis Organ Hepar Tikus Wistar","type":"article-journal","volume":"5"},"uris":["http://www.mendeley.com/documents/?uuid=2d39ebe5-c9bb-3a90-bf16-27e36e639cdf"]}],"mendeley":{"formattedCitation":"(Sari &amp; Aryantini, 2018)","plainTextFormattedCitation":"(Sari &amp; Aryantini, 2018)","previouslyFormattedCitation":"(Sari &amp; Aryantini, 2018)"},"properties":{"noteIndex":0},"schema":"https://github.com/citation-style-language/schema/raw/master/csl-citation.json"}</w:instrText>
      </w:r>
      <w:r w:rsidR="0051032D">
        <w:rPr>
          <w:rFonts w:ascii="Times New Roman" w:hAnsi="Times New Roman"/>
          <w:noProof/>
          <w:sz w:val="24"/>
          <w:szCs w:val="24"/>
          <w:lang w:val="id-ID"/>
        </w:rPr>
        <w:fldChar w:fldCharType="separate"/>
      </w:r>
      <w:r w:rsidR="0051032D" w:rsidRPr="0051032D">
        <w:rPr>
          <w:rFonts w:ascii="Times New Roman" w:hAnsi="Times New Roman"/>
          <w:noProof/>
          <w:sz w:val="24"/>
          <w:szCs w:val="24"/>
          <w:lang w:val="id-ID"/>
        </w:rPr>
        <w:t>(Sari &amp; Aryantini, 2018)</w:t>
      </w:r>
      <w:r w:rsidR="0051032D">
        <w:rPr>
          <w:rFonts w:ascii="Times New Roman" w:hAnsi="Times New Roman"/>
          <w:noProof/>
          <w:sz w:val="24"/>
          <w:szCs w:val="24"/>
          <w:lang w:val="id-ID"/>
        </w:rPr>
        <w:fldChar w:fldCharType="end"/>
      </w:r>
      <w:r w:rsidR="002D4088" w:rsidRPr="002D4088">
        <w:rPr>
          <w:rFonts w:ascii="Times New Roman" w:hAnsi="Times New Roman"/>
          <w:sz w:val="24"/>
          <w:szCs w:val="24"/>
        </w:rPr>
        <w:t>.</w:t>
      </w:r>
      <w:r w:rsidR="00646AEC" w:rsidRPr="002D4088">
        <w:rPr>
          <w:rFonts w:ascii="Times New Roman" w:hAnsi="Times New Roman"/>
          <w:sz w:val="24"/>
          <w:szCs w:val="24"/>
        </w:rPr>
        <w:t xml:space="preserve"> </w:t>
      </w:r>
    </w:p>
    <w:p w14:paraId="0A3627D7" w14:textId="77777777" w:rsidR="00CF4C13" w:rsidRDefault="00E31158" w:rsidP="005500A9">
      <w:pPr>
        <w:spacing w:after="0" w:line="480" w:lineRule="auto"/>
        <w:jc w:val="both"/>
        <w:rPr>
          <w:rFonts w:ascii="Times New Roman" w:hAnsi="Times New Roman"/>
          <w:b/>
          <w:sz w:val="24"/>
          <w:szCs w:val="24"/>
          <w:lang w:val="id-ID"/>
        </w:rPr>
      </w:pPr>
      <w:r>
        <w:rPr>
          <w:rFonts w:ascii="Times New Roman" w:hAnsi="Times New Roman"/>
          <w:b/>
          <w:sz w:val="24"/>
          <w:szCs w:val="24"/>
          <w:lang w:val="id-ID"/>
        </w:rPr>
        <w:t>Tea Formulations</w:t>
      </w:r>
    </w:p>
    <w:p w14:paraId="5AA3135C" w14:textId="77777777" w:rsidR="002D4088" w:rsidRPr="002D4088" w:rsidRDefault="00E31158" w:rsidP="005500A9">
      <w:pPr>
        <w:spacing w:line="480" w:lineRule="auto"/>
        <w:ind w:firstLine="720"/>
        <w:jc w:val="both"/>
        <w:rPr>
          <w:rFonts w:ascii="Times New Roman" w:hAnsi="Times New Roman"/>
          <w:sz w:val="24"/>
          <w:szCs w:val="24"/>
        </w:rPr>
      </w:pPr>
      <w:r w:rsidRPr="00E31158">
        <w:rPr>
          <w:rFonts w:ascii="Times New Roman" w:hAnsi="Times New Roman"/>
          <w:sz w:val="24"/>
          <w:szCs w:val="24"/>
        </w:rPr>
        <w:lastRenderedPageBreak/>
        <w:t>Combining rosella tea and cinnamon powder, followed by the addition of lemongrass oil, induces a notable darkening in the color of the rosella tea (Figure 1) and imparts a distinct lemongrass aroma, indicative of thorough blending of the ingredients. The incorporation of cinnamon powder, known for its natural pigments such as coumarin and tannin, significantly influences the color transformation of rosella tea owing to the chemical characteristics inherent to cinnamon. Specifically, coumarin, a constituent of cinnamon, imparts a brown hue to the beverage, while tannin facilitates color modification through oxidative reactions with compounds present in rosella tea</w:t>
      </w:r>
      <w:r w:rsidR="00D73132">
        <w:rPr>
          <w:rFonts w:ascii="Times New Roman" w:hAnsi="Times New Roman"/>
          <w:sz w:val="24"/>
          <w:szCs w:val="24"/>
          <w:lang w:val="id-ID"/>
        </w:rPr>
        <w:t xml:space="preserve"> </w:t>
      </w:r>
      <w:r w:rsidR="00D73132">
        <w:rPr>
          <w:rFonts w:ascii="Times New Roman" w:hAnsi="Times New Roman"/>
          <w:sz w:val="24"/>
          <w:szCs w:val="24"/>
          <w:lang w:val="id-ID"/>
        </w:rPr>
        <w:fldChar w:fldCharType="begin" w:fldLock="1"/>
      </w:r>
      <w:r w:rsidR="00D73132">
        <w:rPr>
          <w:rFonts w:ascii="Times New Roman" w:hAnsi="Times New Roman"/>
          <w:sz w:val="24"/>
          <w:szCs w:val="24"/>
          <w:lang w:val="id-ID"/>
        </w:rPr>
        <w:instrText>ADDIN CSL_CITATION {"citationItems":[{"id":"ITEM-1","itemData":{"ISSN":"2684-9879","abstract":"Edible spoon is one kind of edible cutlery, which is a disposable meal made of biodegradable materials so that it can reduce the neighborhood use of inhospitable plastic diets. Natural dyeing is safer than synthetic dyes. For example (leaves of pandan, carrots and purple sweet potatoes. The purpose of the study is identify the effects of adding a natural pigment extract, adding cinnamon powder and an interaction between a natural dye extract and cinnamon powder as anti microbial against edible spoon. The study uses a full random design (RAL) prosecuting patterns of 3 levels with 2 factors. The factor I is a natural dye extract with three levels of it: P1 = extract of pandan leaves (3%), P2 = carrot extract (3%) and P3 = extract of purple sweet potato (3%). The factor II is cinnamon powder with 3 levels of yatiu K1 =1%, K2 =1.5% and K3 =2%. The parameters analyzed in the study are for tests of water levels and hedonic organoleptic tests (color, taste and aroma). Studies have shown that the effects of adding a variant extracted from natural dyes have a very real impact on water levels, hedonic organoleptic tests (colors and scents), but have no real effect on hedonic organoleptic tests. The effect of cinnamon powder is particularly evident on water levels tests, hedonic organoleptic tests (color and taste), but it has no real effect on scent hedonic organoleptic tests. Whereas the mixing of variant extracts of natural dyes and cinnamon powders does not make a real difference in water levels, organoleptic tests (color, taste and aroma). The best treatment based on adding extract of pandan leaves and cinnamon powder 2% (P1K3) is edible spoon with the chemical properties of water 9.90%, hedonic organoleptic {color 1.87 (not like), 4.58 (likes) and scent 4.40 (likes)}.","author":[{"dropping-particle":"","family":"Arismawanti","given":"Puja","non-dropping-particle":"","parse-names":false,"suffix":""},{"dropping-particle":"","family":"Irmayanti","given":"","non-dropping-particle":"","parse-names":false,"suffix":""},{"dropping-particle":"","family":"AR","given":"Chairuni","non-dropping-particle":"","parse-names":false,"suffix":""}],"container-title":"| Serambi Journal of Agricultural Technology","id":"ITEM-1","issue":"2","issued":{"date-parts":[["2021"]]},"page":"96-105","publisher":"SJAT","title":"Formulation For Making Edible Spoon With Additional Variants of Natural Dye Extract and Cinnamon Powder (Cinamomum Burmanii) as Anti-Microbial","type":"article-journal","volume":"3"},"uris":["http://www.mendeley.com/documents/?uuid=55debd7c-19b8-3fd4-9556-335faf74e569"]}],"mendeley":{"formattedCitation":"(Arismawanti et al., 2021)","plainTextFormattedCitation":"(Arismawanti et al., 2021)","previouslyFormattedCitation":"(Arismawanti et al., 2021)"},"properties":{"noteIndex":0},"schema":"https://github.com/citation-style-language/schema/raw/master/csl-citation.json"}</w:instrText>
      </w:r>
      <w:r w:rsidR="00D73132">
        <w:rPr>
          <w:rFonts w:ascii="Times New Roman" w:hAnsi="Times New Roman"/>
          <w:sz w:val="24"/>
          <w:szCs w:val="24"/>
          <w:lang w:val="id-ID"/>
        </w:rPr>
        <w:fldChar w:fldCharType="separate"/>
      </w:r>
      <w:r w:rsidR="00D73132" w:rsidRPr="00D73132">
        <w:rPr>
          <w:rFonts w:ascii="Times New Roman" w:hAnsi="Times New Roman"/>
          <w:noProof/>
          <w:sz w:val="24"/>
          <w:szCs w:val="24"/>
          <w:lang w:val="id-ID"/>
        </w:rPr>
        <w:t>(Arismawanti et al., 2021)</w:t>
      </w:r>
      <w:r w:rsidR="00D73132">
        <w:rPr>
          <w:rFonts w:ascii="Times New Roman" w:hAnsi="Times New Roman"/>
          <w:sz w:val="24"/>
          <w:szCs w:val="24"/>
          <w:lang w:val="id-ID"/>
        </w:rPr>
        <w:fldChar w:fldCharType="end"/>
      </w:r>
      <w:r w:rsidRPr="00E31158">
        <w:rPr>
          <w:rFonts w:ascii="Times New Roman" w:hAnsi="Times New Roman"/>
          <w:sz w:val="24"/>
          <w:szCs w:val="24"/>
        </w:rPr>
        <w:t xml:space="preserve">. Additionally, lemongrass oil, containing </w:t>
      </w:r>
      <w:proofErr w:type="spellStart"/>
      <w:r w:rsidRPr="00E31158">
        <w:rPr>
          <w:rFonts w:ascii="Times New Roman" w:hAnsi="Times New Roman"/>
          <w:sz w:val="24"/>
          <w:szCs w:val="24"/>
        </w:rPr>
        <w:t>citral</w:t>
      </w:r>
      <w:proofErr w:type="spellEnd"/>
      <w:r w:rsidRPr="00E31158">
        <w:rPr>
          <w:rFonts w:ascii="Times New Roman" w:hAnsi="Times New Roman"/>
          <w:sz w:val="24"/>
          <w:szCs w:val="24"/>
        </w:rPr>
        <w:t xml:space="preserve"> compounds, intensifies the citrus aroma, thereby enhancing the overall sensory experience.</w:t>
      </w:r>
    </w:p>
    <w:p w14:paraId="3D2A895D" w14:textId="77777777" w:rsidR="002D4088" w:rsidRPr="002D4088" w:rsidRDefault="00EB5AAE" w:rsidP="005500A9">
      <w:pPr>
        <w:keepNext/>
        <w:spacing w:line="480" w:lineRule="auto"/>
        <w:jc w:val="center"/>
        <w:rPr>
          <w:rFonts w:ascii="Times New Roman" w:hAnsi="Times New Roman"/>
          <w:sz w:val="24"/>
          <w:szCs w:val="24"/>
        </w:rPr>
      </w:pPr>
      <w:r w:rsidRPr="002D4088">
        <w:rPr>
          <w:rFonts w:ascii="Times New Roman" w:hAnsi="Times New Roman"/>
          <w:noProof/>
          <w:sz w:val="24"/>
          <w:szCs w:val="24"/>
          <w:lang w:val="id-ID" w:eastAsia="id-ID"/>
        </w:rPr>
        <w:drawing>
          <wp:inline distT="0" distB="0" distL="0" distR="0" wp14:anchorId="4AA7AC2E" wp14:editId="1D85335C">
            <wp:extent cx="2981960" cy="1383665"/>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t="9515" b="8356"/>
                    <a:stretch>
                      <a:fillRect/>
                    </a:stretch>
                  </pic:blipFill>
                  <pic:spPr bwMode="auto">
                    <a:xfrm flipH="1">
                      <a:off x="0" y="0"/>
                      <a:ext cx="2981960" cy="1383665"/>
                    </a:xfrm>
                    <a:prstGeom prst="rect">
                      <a:avLst/>
                    </a:prstGeom>
                    <a:noFill/>
                    <a:ln>
                      <a:noFill/>
                    </a:ln>
                  </pic:spPr>
                </pic:pic>
              </a:graphicData>
            </a:graphic>
          </wp:inline>
        </w:drawing>
      </w:r>
    </w:p>
    <w:p w14:paraId="23E47F91" w14:textId="77777777" w:rsidR="002D4088" w:rsidRDefault="00E31158" w:rsidP="005500A9">
      <w:pPr>
        <w:spacing w:after="0" w:line="480" w:lineRule="auto"/>
        <w:ind w:left="567" w:hanging="567"/>
        <w:jc w:val="both"/>
        <w:rPr>
          <w:rFonts w:ascii="Times New Roman" w:hAnsi="Times New Roman"/>
          <w:sz w:val="24"/>
          <w:szCs w:val="24"/>
          <w:lang w:val="id-ID"/>
        </w:rPr>
      </w:pPr>
      <w:r>
        <w:rPr>
          <w:rFonts w:ascii="Times New Roman" w:hAnsi="Times New Roman"/>
          <w:b/>
          <w:sz w:val="24"/>
          <w:szCs w:val="24"/>
          <w:lang w:val="id-ID"/>
        </w:rPr>
        <w:t>Figure</w:t>
      </w:r>
      <w:r w:rsidR="002D4088" w:rsidRPr="002D4088">
        <w:rPr>
          <w:rFonts w:ascii="Times New Roman" w:hAnsi="Times New Roman"/>
          <w:b/>
          <w:sz w:val="24"/>
          <w:szCs w:val="24"/>
        </w:rPr>
        <w:t xml:space="preserve"> </w:t>
      </w:r>
      <w:r w:rsidR="002D4088" w:rsidRPr="002D4088">
        <w:rPr>
          <w:rFonts w:ascii="Times New Roman" w:hAnsi="Times New Roman"/>
          <w:b/>
          <w:i/>
          <w:sz w:val="24"/>
          <w:szCs w:val="24"/>
        </w:rPr>
        <w:fldChar w:fldCharType="begin"/>
      </w:r>
      <w:r w:rsidR="002D4088" w:rsidRPr="002D4088">
        <w:rPr>
          <w:rFonts w:ascii="Times New Roman" w:hAnsi="Times New Roman"/>
          <w:b/>
          <w:sz w:val="24"/>
          <w:szCs w:val="24"/>
        </w:rPr>
        <w:instrText xml:space="preserve"> SEQ Figure \* ARABIC </w:instrText>
      </w:r>
      <w:r w:rsidR="002D4088" w:rsidRPr="002D4088">
        <w:rPr>
          <w:rFonts w:ascii="Times New Roman" w:hAnsi="Times New Roman"/>
          <w:b/>
          <w:i/>
          <w:sz w:val="24"/>
          <w:szCs w:val="24"/>
        </w:rPr>
        <w:fldChar w:fldCharType="separate"/>
      </w:r>
      <w:r w:rsidR="003A0730">
        <w:rPr>
          <w:rFonts w:ascii="Times New Roman" w:hAnsi="Times New Roman"/>
          <w:b/>
          <w:noProof/>
          <w:sz w:val="24"/>
          <w:szCs w:val="24"/>
        </w:rPr>
        <w:t>1</w:t>
      </w:r>
      <w:r w:rsidR="002D4088" w:rsidRPr="002D4088">
        <w:rPr>
          <w:rFonts w:ascii="Times New Roman" w:hAnsi="Times New Roman"/>
          <w:b/>
          <w:i/>
          <w:sz w:val="24"/>
          <w:szCs w:val="24"/>
        </w:rPr>
        <w:fldChar w:fldCharType="end"/>
      </w:r>
      <w:r w:rsidR="002D4088" w:rsidRPr="002D4088">
        <w:rPr>
          <w:rFonts w:ascii="Times New Roman" w:hAnsi="Times New Roman"/>
          <w:b/>
          <w:sz w:val="24"/>
          <w:szCs w:val="24"/>
        </w:rPr>
        <w:t>.</w:t>
      </w:r>
      <w:r w:rsidR="002D4088" w:rsidRPr="002D4088">
        <w:rPr>
          <w:rFonts w:ascii="Times New Roman" w:hAnsi="Times New Roman"/>
          <w:sz w:val="24"/>
          <w:szCs w:val="24"/>
        </w:rPr>
        <w:t xml:space="preserve"> </w:t>
      </w:r>
      <w:r>
        <w:rPr>
          <w:rFonts w:ascii="Times New Roman" w:hAnsi="Times New Roman"/>
          <w:b/>
          <w:sz w:val="24"/>
          <w:szCs w:val="24"/>
          <w:lang w:val="id-ID"/>
        </w:rPr>
        <w:t>Physical appearance of roselle powder</w:t>
      </w:r>
      <w:r w:rsidR="00887221">
        <w:rPr>
          <w:rFonts w:ascii="Times New Roman" w:hAnsi="Times New Roman"/>
          <w:b/>
          <w:sz w:val="24"/>
          <w:szCs w:val="24"/>
          <w:lang w:val="id-ID"/>
        </w:rPr>
        <w:t>.</w:t>
      </w:r>
      <w:r w:rsidR="00C04769" w:rsidRPr="00C04769">
        <w:rPr>
          <w:rFonts w:ascii="Times New Roman" w:hAnsi="Times New Roman"/>
          <w:b/>
          <w:sz w:val="24"/>
          <w:szCs w:val="24"/>
          <w:lang w:val="id-ID"/>
        </w:rPr>
        <w:t xml:space="preserve"> </w:t>
      </w:r>
      <w:r>
        <w:rPr>
          <w:rFonts w:ascii="Times New Roman" w:hAnsi="Times New Roman"/>
          <w:sz w:val="24"/>
          <w:szCs w:val="24"/>
          <w:lang w:val="id-ID"/>
        </w:rPr>
        <w:t>Before adding cinnamon and lemongrass vapor (A), and after adding cinnamon and lemongrass vapor (B)</w:t>
      </w:r>
      <w:r w:rsidR="00C04769" w:rsidRPr="00887221">
        <w:rPr>
          <w:rFonts w:ascii="Times New Roman" w:hAnsi="Times New Roman"/>
          <w:sz w:val="24"/>
          <w:szCs w:val="24"/>
          <w:lang w:val="id-ID"/>
        </w:rPr>
        <w:t>.</w:t>
      </w:r>
    </w:p>
    <w:p w14:paraId="0FFE9BCB" w14:textId="77777777" w:rsidR="002D4088" w:rsidRDefault="00FC0918" w:rsidP="005500A9">
      <w:pPr>
        <w:spacing w:after="0" w:line="480" w:lineRule="auto"/>
        <w:jc w:val="both"/>
        <w:rPr>
          <w:rFonts w:ascii="Times New Roman" w:hAnsi="Times New Roman"/>
          <w:b/>
          <w:sz w:val="24"/>
          <w:szCs w:val="24"/>
          <w:lang w:val="id-ID"/>
        </w:rPr>
      </w:pPr>
      <w:r>
        <w:rPr>
          <w:rFonts w:ascii="Times New Roman" w:hAnsi="Times New Roman"/>
          <w:b/>
          <w:sz w:val="24"/>
          <w:szCs w:val="24"/>
          <w:lang w:val="id-ID"/>
        </w:rPr>
        <w:t>Cytotoxic Activity of Roselle Herbal Tea against T47D Cells</w:t>
      </w:r>
    </w:p>
    <w:p w14:paraId="35AB847A" w14:textId="77777777" w:rsidR="002D4088" w:rsidRDefault="00FC0918" w:rsidP="005500A9">
      <w:pPr>
        <w:spacing w:after="0" w:line="480" w:lineRule="auto"/>
        <w:ind w:firstLine="709"/>
        <w:jc w:val="both"/>
        <w:rPr>
          <w:rFonts w:ascii="Times New Roman" w:hAnsi="Times New Roman"/>
          <w:sz w:val="24"/>
          <w:szCs w:val="24"/>
          <w:lang w:val="id-ID"/>
        </w:rPr>
      </w:pPr>
      <w:r w:rsidRPr="00FC0918">
        <w:rPr>
          <w:rFonts w:ascii="Times New Roman" w:hAnsi="Times New Roman"/>
          <w:sz w:val="24"/>
        </w:rPr>
        <w:t>The cytotoxic activity of rosella tea, as well as rosella tea with the addi</w:t>
      </w:r>
      <w:r w:rsidR="00826A35">
        <w:rPr>
          <w:rFonts w:ascii="Times New Roman" w:hAnsi="Times New Roman"/>
          <w:sz w:val="24"/>
        </w:rPr>
        <w:t>tion of cinnamon and lemongrass</w:t>
      </w:r>
      <w:r w:rsidR="009058C8">
        <w:rPr>
          <w:rFonts w:ascii="Times New Roman" w:hAnsi="Times New Roman"/>
          <w:sz w:val="24"/>
        </w:rPr>
        <w:t xml:space="preserve"> vapor</w:t>
      </w:r>
      <w:r w:rsidRPr="00FC0918">
        <w:rPr>
          <w:rFonts w:ascii="Times New Roman" w:hAnsi="Times New Roman"/>
          <w:sz w:val="24"/>
        </w:rPr>
        <w:t xml:space="preserve"> against T47D cells was analyzed using the MTT method (Figure 2).</w:t>
      </w:r>
    </w:p>
    <w:p w14:paraId="10060BF9" w14:textId="77777777" w:rsidR="00887221" w:rsidRDefault="00887221" w:rsidP="005500A9">
      <w:pPr>
        <w:tabs>
          <w:tab w:val="left" w:pos="2562"/>
        </w:tabs>
        <w:spacing w:after="0" w:line="480" w:lineRule="auto"/>
        <w:jc w:val="both"/>
        <w:rPr>
          <w:sz w:val="24"/>
          <w:szCs w:val="24"/>
          <w:lang w:val="id-ID"/>
        </w:rPr>
        <w:sectPr w:rsidR="00887221" w:rsidSect="005500A9">
          <w:type w:val="continuous"/>
          <w:pgSz w:w="11907" w:h="16839" w:code="9"/>
          <w:pgMar w:top="1440" w:right="1440" w:bottom="1440" w:left="1440" w:header="720" w:footer="720" w:gutter="0"/>
          <w:cols w:space="283"/>
          <w:docGrid w:linePitch="360"/>
        </w:sectPr>
      </w:pPr>
    </w:p>
    <w:tbl>
      <w:tblPr>
        <w:tblW w:w="9527" w:type="dxa"/>
        <w:tblLayout w:type="fixed"/>
        <w:tblLook w:val="04A0" w:firstRow="1" w:lastRow="0" w:firstColumn="1" w:lastColumn="0" w:noHBand="0" w:noVBand="1"/>
      </w:tblPr>
      <w:tblGrid>
        <w:gridCol w:w="392"/>
        <w:gridCol w:w="4252"/>
        <w:gridCol w:w="284"/>
        <w:gridCol w:w="4599"/>
      </w:tblGrid>
      <w:tr w:rsidR="004E0E29" w:rsidRPr="004B7A09" w14:paraId="5072C83A" w14:textId="77777777" w:rsidTr="004B7A09">
        <w:trPr>
          <w:trHeight w:val="1948"/>
        </w:trPr>
        <w:tc>
          <w:tcPr>
            <w:tcW w:w="392" w:type="dxa"/>
            <w:shd w:val="clear" w:color="auto" w:fill="auto"/>
          </w:tcPr>
          <w:p w14:paraId="53060627" w14:textId="77777777" w:rsidR="004E0E29" w:rsidRPr="004B7A09" w:rsidRDefault="004E0E29" w:rsidP="005500A9">
            <w:pPr>
              <w:tabs>
                <w:tab w:val="left" w:pos="2562"/>
              </w:tabs>
              <w:spacing w:after="0" w:line="480" w:lineRule="auto"/>
              <w:jc w:val="both"/>
              <w:rPr>
                <w:rFonts w:ascii="Times New Roman" w:eastAsia="Times New Roman" w:hAnsi="Times New Roman"/>
                <w:sz w:val="24"/>
                <w:szCs w:val="24"/>
                <w:lang w:val="id-ID"/>
              </w:rPr>
            </w:pPr>
          </w:p>
          <w:p w14:paraId="2926F6F0" w14:textId="77777777" w:rsidR="00A1551E" w:rsidRPr="004B7A09" w:rsidRDefault="004E0E29"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sz w:val="24"/>
                <w:szCs w:val="24"/>
                <w:lang w:val="id-ID"/>
              </w:rPr>
              <w:t>A</w:t>
            </w:r>
          </w:p>
        </w:tc>
        <w:tc>
          <w:tcPr>
            <w:tcW w:w="4252" w:type="dxa"/>
            <w:shd w:val="clear" w:color="auto" w:fill="auto"/>
          </w:tcPr>
          <w:p w14:paraId="56DC16D3" w14:textId="77777777" w:rsidR="00A1551E" w:rsidRPr="004B7A09" w:rsidRDefault="00EB5AAE"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noProof/>
                <w:sz w:val="24"/>
                <w:szCs w:val="24"/>
                <w:lang w:val="id-ID" w:eastAsia="id-ID"/>
              </w:rPr>
              <w:drawing>
                <wp:inline distT="0" distB="0" distL="0" distR="0" wp14:anchorId="1A101150" wp14:editId="7574E913">
                  <wp:extent cx="2520950" cy="1202690"/>
                  <wp:effectExtent l="0" t="0" r="0" b="0"/>
                  <wp:docPr id="2" name="Picture 2" descr="Sitotoksik 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otoksik F1"/>
                          <pic:cNvPicPr>
                            <a:picLocks noChangeAspect="1" noChangeArrowheads="1"/>
                          </pic:cNvPicPr>
                        </pic:nvPicPr>
                        <pic:blipFill>
                          <a:blip r:embed="rId12" cstate="print">
                            <a:extLst>
                              <a:ext uri="{28A0092B-C50C-407E-A947-70E740481C1C}">
                                <a14:useLocalDpi xmlns:a14="http://schemas.microsoft.com/office/drawing/2010/main" val="0"/>
                              </a:ext>
                            </a:extLst>
                          </a:blip>
                          <a:srcRect l="9967" t="42973" r="11371" b="7832"/>
                          <a:stretch>
                            <a:fillRect/>
                          </a:stretch>
                        </pic:blipFill>
                        <pic:spPr bwMode="auto">
                          <a:xfrm>
                            <a:off x="0" y="0"/>
                            <a:ext cx="2520950" cy="1202690"/>
                          </a:xfrm>
                          <a:prstGeom prst="rect">
                            <a:avLst/>
                          </a:prstGeom>
                          <a:noFill/>
                          <a:ln>
                            <a:noFill/>
                          </a:ln>
                        </pic:spPr>
                      </pic:pic>
                    </a:graphicData>
                  </a:graphic>
                </wp:inline>
              </w:drawing>
            </w:r>
          </w:p>
        </w:tc>
        <w:tc>
          <w:tcPr>
            <w:tcW w:w="284" w:type="dxa"/>
            <w:shd w:val="clear" w:color="auto" w:fill="auto"/>
          </w:tcPr>
          <w:p w14:paraId="54647AFC" w14:textId="77777777" w:rsidR="004E0E29" w:rsidRPr="004B7A09" w:rsidRDefault="004E0E29" w:rsidP="005500A9">
            <w:pPr>
              <w:tabs>
                <w:tab w:val="left" w:pos="2562"/>
              </w:tabs>
              <w:spacing w:after="0" w:line="480" w:lineRule="auto"/>
              <w:jc w:val="both"/>
              <w:rPr>
                <w:rFonts w:ascii="Times New Roman" w:eastAsia="Times New Roman" w:hAnsi="Times New Roman"/>
                <w:sz w:val="24"/>
                <w:szCs w:val="24"/>
                <w:lang w:val="id-ID"/>
              </w:rPr>
            </w:pPr>
          </w:p>
          <w:p w14:paraId="2DCF09B0" w14:textId="77777777" w:rsidR="00A1551E" w:rsidRPr="004B7A09" w:rsidRDefault="004E0E29"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sz w:val="24"/>
                <w:szCs w:val="24"/>
                <w:lang w:val="id-ID"/>
              </w:rPr>
              <w:t>B</w:t>
            </w:r>
          </w:p>
        </w:tc>
        <w:tc>
          <w:tcPr>
            <w:tcW w:w="4599" w:type="dxa"/>
            <w:shd w:val="clear" w:color="auto" w:fill="auto"/>
          </w:tcPr>
          <w:p w14:paraId="7AB36D3D" w14:textId="77777777" w:rsidR="00A1551E" w:rsidRPr="004B7A09" w:rsidRDefault="00EB5AAE"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noProof/>
                <w:sz w:val="24"/>
                <w:szCs w:val="24"/>
                <w:lang w:val="id-ID" w:eastAsia="id-ID"/>
              </w:rPr>
              <w:drawing>
                <wp:inline distT="0" distB="0" distL="0" distR="0" wp14:anchorId="211E74E4" wp14:editId="28771364">
                  <wp:extent cx="2668905" cy="1177925"/>
                  <wp:effectExtent l="0" t="0" r="0" b="3175"/>
                  <wp:docPr id="3" name="Picture 3" descr="Sitotoksik F2 (F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totoksik F2 (F13)"/>
                          <pic:cNvPicPr>
                            <a:picLocks noChangeAspect="1" noChangeArrowheads="1"/>
                          </pic:cNvPicPr>
                        </pic:nvPicPr>
                        <pic:blipFill>
                          <a:blip r:embed="rId13" cstate="print">
                            <a:extLst>
                              <a:ext uri="{28A0092B-C50C-407E-A947-70E740481C1C}">
                                <a14:useLocalDpi xmlns:a14="http://schemas.microsoft.com/office/drawing/2010/main" val="0"/>
                              </a:ext>
                            </a:extLst>
                          </a:blip>
                          <a:srcRect l="9901" t="41159" r="11113" b="13202"/>
                          <a:stretch>
                            <a:fillRect/>
                          </a:stretch>
                        </pic:blipFill>
                        <pic:spPr bwMode="auto">
                          <a:xfrm>
                            <a:off x="0" y="0"/>
                            <a:ext cx="2668905" cy="1177925"/>
                          </a:xfrm>
                          <a:prstGeom prst="rect">
                            <a:avLst/>
                          </a:prstGeom>
                          <a:noFill/>
                          <a:ln>
                            <a:noFill/>
                          </a:ln>
                        </pic:spPr>
                      </pic:pic>
                    </a:graphicData>
                  </a:graphic>
                </wp:inline>
              </w:drawing>
            </w:r>
          </w:p>
        </w:tc>
      </w:tr>
      <w:tr w:rsidR="004E0E29" w:rsidRPr="004B7A09" w14:paraId="732A5B08" w14:textId="77777777" w:rsidTr="004B7A09">
        <w:tc>
          <w:tcPr>
            <w:tcW w:w="392" w:type="dxa"/>
            <w:shd w:val="clear" w:color="auto" w:fill="auto"/>
          </w:tcPr>
          <w:p w14:paraId="5E7837B4" w14:textId="77777777" w:rsidR="00324D41" w:rsidRPr="004B7A09" w:rsidRDefault="00324D41" w:rsidP="005500A9">
            <w:pPr>
              <w:tabs>
                <w:tab w:val="left" w:pos="2562"/>
              </w:tabs>
              <w:spacing w:after="0" w:line="480" w:lineRule="auto"/>
              <w:jc w:val="both"/>
              <w:rPr>
                <w:rFonts w:ascii="Times New Roman" w:eastAsia="Times New Roman" w:hAnsi="Times New Roman"/>
                <w:sz w:val="24"/>
                <w:szCs w:val="24"/>
                <w:lang w:val="id-ID"/>
              </w:rPr>
            </w:pPr>
          </w:p>
          <w:p w14:paraId="44FDDE0A" w14:textId="77777777" w:rsidR="00A1551E" w:rsidRPr="004B7A09" w:rsidRDefault="002E359C"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sz w:val="24"/>
                <w:szCs w:val="24"/>
                <w:lang w:val="id-ID"/>
              </w:rPr>
              <w:t>C</w:t>
            </w:r>
          </w:p>
        </w:tc>
        <w:tc>
          <w:tcPr>
            <w:tcW w:w="4252" w:type="dxa"/>
            <w:shd w:val="clear" w:color="auto" w:fill="auto"/>
          </w:tcPr>
          <w:p w14:paraId="5A3C03D1" w14:textId="77777777" w:rsidR="00A1551E" w:rsidRPr="004B7A09" w:rsidRDefault="00EB5AAE"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noProof/>
                <w:sz w:val="24"/>
                <w:szCs w:val="24"/>
                <w:lang w:val="id-ID" w:eastAsia="id-ID"/>
              </w:rPr>
              <w:drawing>
                <wp:inline distT="0" distB="0" distL="0" distR="0" wp14:anchorId="7B2F9E85" wp14:editId="6CE1412F">
                  <wp:extent cx="2537460" cy="1293495"/>
                  <wp:effectExtent l="0" t="0" r="0" b="1905"/>
                  <wp:docPr id="4" name="Picture 4" descr="Sitotoksik F3 (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totoksik F3 (F10)"/>
                          <pic:cNvPicPr>
                            <a:picLocks noChangeAspect="1" noChangeArrowheads="1"/>
                          </pic:cNvPicPr>
                        </pic:nvPicPr>
                        <pic:blipFill>
                          <a:blip r:embed="rId14" cstate="print">
                            <a:extLst>
                              <a:ext uri="{28A0092B-C50C-407E-A947-70E740481C1C}">
                                <a14:useLocalDpi xmlns:a14="http://schemas.microsoft.com/office/drawing/2010/main" val="0"/>
                              </a:ext>
                            </a:extLst>
                          </a:blip>
                          <a:srcRect l="10303" t="40414" r="11395" b="7787"/>
                          <a:stretch>
                            <a:fillRect/>
                          </a:stretch>
                        </pic:blipFill>
                        <pic:spPr bwMode="auto">
                          <a:xfrm>
                            <a:off x="0" y="0"/>
                            <a:ext cx="2537460" cy="1293495"/>
                          </a:xfrm>
                          <a:prstGeom prst="rect">
                            <a:avLst/>
                          </a:prstGeom>
                          <a:noFill/>
                          <a:ln>
                            <a:noFill/>
                          </a:ln>
                        </pic:spPr>
                      </pic:pic>
                    </a:graphicData>
                  </a:graphic>
                </wp:inline>
              </w:drawing>
            </w:r>
          </w:p>
        </w:tc>
        <w:tc>
          <w:tcPr>
            <w:tcW w:w="284" w:type="dxa"/>
            <w:shd w:val="clear" w:color="auto" w:fill="auto"/>
          </w:tcPr>
          <w:p w14:paraId="4B6B4F21" w14:textId="77777777" w:rsidR="00324D41" w:rsidRPr="004B7A09" w:rsidRDefault="00324D41" w:rsidP="005500A9">
            <w:pPr>
              <w:tabs>
                <w:tab w:val="left" w:pos="2562"/>
              </w:tabs>
              <w:spacing w:after="0" w:line="480" w:lineRule="auto"/>
              <w:jc w:val="both"/>
              <w:rPr>
                <w:rFonts w:ascii="Times New Roman" w:eastAsia="Times New Roman" w:hAnsi="Times New Roman"/>
                <w:sz w:val="24"/>
                <w:szCs w:val="24"/>
                <w:lang w:val="id-ID"/>
              </w:rPr>
            </w:pPr>
          </w:p>
          <w:p w14:paraId="6EC77589" w14:textId="77777777" w:rsidR="00A1551E" w:rsidRPr="004B7A09" w:rsidRDefault="002E359C"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sz w:val="24"/>
                <w:szCs w:val="24"/>
                <w:lang w:val="id-ID"/>
              </w:rPr>
              <w:t>D</w:t>
            </w:r>
          </w:p>
        </w:tc>
        <w:tc>
          <w:tcPr>
            <w:tcW w:w="4599" w:type="dxa"/>
            <w:shd w:val="clear" w:color="auto" w:fill="auto"/>
          </w:tcPr>
          <w:p w14:paraId="74F4ECB9" w14:textId="77777777" w:rsidR="00A1551E" w:rsidRPr="004B7A09" w:rsidRDefault="00EB5AAE" w:rsidP="005500A9">
            <w:pPr>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noProof/>
                <w:sz w:val="24"/>
                <w:szCs w:val="24"/>
                <w:lang w:val="id-ID" w:eastAsia="id-ID"/>
              </w:rPr>
              <w:drawing>
                <wp:inline distT="0" distB="0" distL="0" distR="0" wp14:anchorId="188EA56F" wp14:editId="336D4275">
                  <wp:extent cx="2668905" cy="1334770"/>
                  <wp:effectExtent l="0" t="0" r="0" b="0"/>
                  <wp:docPr id="5" name="Picture 5" descr="Sitotoksik F4 (F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totoksik F4 (F14)"/>
                          <pic:cNvPicPr>
                            <a:picLocks noChangeAspect="1" noChangeArrowheads="1"/>
                          </pic:cNvPicPr>
                        </pic:nvPicPr>
                        <pic:blipFill>
                          <a:blip r:embed="rId15" cstate="print">
                            <a:extLst>
                              <a:ext uri="{28A0092B-C50C-407E-A947-70E740481C1C}">
                                <a14:useLocalDpi xmlns:a14="http://schemas.microsoft.com/office/drawing/2010/main" val="0"/>
                              </a:ext>
                            </a:extLst>
                          </a:blip>
                          <a:srcRect l="10085" t="41428" r="11913" b="7915"/>
                          <a:stretch>
                            <a:fillRect/>
                          </a:stretch>
                        </pic:blipFill>
                        <pic:spPr bwMode="auto">
                          <a:xfrm>
                            <a:off x="0" y="0"/>
                            <a:ext cx="2668905" cy="1334770"/>
                          </a:xfrm>
                          <a:prstGeom prst="rect">
                            <a:avLst/>
                          </a:prstGeom>
                          <a:noFill/>
                          <a:ln>
                            <a:noFill/>
                          </a:ln>
                        </pic:spPr>
                      </pic:pic>
                    </a:graphicData>
                  </a:graphic>
                </wp:inline>
              </w:drawing>
            </w:r>
          </w:p>
        </w:tc>
      </w:tr>
      <w:tr w:rsidR="004E0E29" w:rsidRPr="004B7A09" w14:paraId="7A147425" w14:textId="77777777" w:rsidTr="004B7A09">
        <w:tc>
          <w:tcPr>
            <w:tcW w:w="392" w:type="dxa"/>
            <w:shd w:val="clear" w:color="auto" w:fill="auto"/>
          </w:tcPr>
          <w:p w14:paraId="3AF33C6A" w14:textId="77777777" w:rsidR="00324D41" w:rsidRPr="004B7A09" w:rsidRDefault="00324D41" w:rsidP="005500A9">
            <w:pPr>
              <w:tabs>
                <w:tab w:val="left" w:pos="2562"/>
              </w:tabs>
              <w:spacing w:after="0" w:line="480" w:lineRule="auto"/>
              <w:jc w:val="both"/>
              <w:rPr>
                <w:rFonts w:ascii="Times New Roman" w:eastAsia="Times New Roman" w:hAnsi="Times New Roman"/>
                <w:sz w:val="24"/>
                <w:szCs w:val="24"/>
                <w:lang w:val="id-ID"/>
              </w:rPr>
            </w:pPr>
          </w:p>
          <w:p w14:paraId="206187C0" w14:textId="77777777" w:rsidR="00A1551E" w:rsidRPr="004B7A09" w:rsidRDefault="002E359C"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sz w:val="24"/>
                <w:szCs w:val="24"/>
                <w:lang w:val="id-ID"/>
              </w:rPr>
              <w:t>E</w:t>
            </w:r>
          </w:p>
        </w:tc>
        <w:tc>
          <w:tcPr>
            <w:tcW w:w="4252" w:type="dxa"/>
            <w:shd w:val="clear" w:color="auto" w:fill="auto"/>
          </w:tcPr>
          <w:p w14:paraId="58A1910A" w14:textId="77777777" w:rsidR="00A1551E" w:rsidRPr="004B7A09" w:rsidRDefault="00EB5AAE"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noProof/>
                <w:sz w:val="24"/>
                <w:szCs w:val="24"/>
                <w:lang w:val="id-ID" w:eastAsia="id-ID"/>
              </w:rPr>
              <w:drawing>
                <wp:inline distT="0" distB="0" distL="0" distR="0" wp14:anchorId="019B3FA6" wp14:editId="3BE57F2C">
                  <wp:extent cx="2520950" cy="1343025"/>
                  <wp:effectExtent l="0" t="0" r="0" b="9525"/>
                  <wp:docPr id="6" name="Picture 6" descr="Sitotoksik F5 (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totoksik F5 (F11)"/>
                          <pic:cNvPicPr>
                            <a:picLocks noChangeAspect="1" noChangeArrowheads="1"/>
                          </pic:cNvPicPr>
                        </pic:nvPicPr>
                        <pic:blipFill>
                          <a:blip r:embed="rId16" cstate="print">
                            <a:extLst>
                              <a:ext uri="{28A0092B-C50C-407E-A947-70E740481C1C}">
                                <a14:useLocalDpi xmlns:a14="http://schemas.microsoft.com/office/drawing/2010/main" val="0"/>
                              </a:ext>
                            </a:extLst>
                          </a:blip>
                          <a:srcRect l="10750" t="43561" r="12285" b="9148"/>
                          <a:stretch>
                            <a:fillRect/>
                          </a:stretch>
                        </pic:blipFill>
                        <pic:spPr bwMode="auto">
                          <a:xfrm>
                            <a:off x="0" y="0"/>
                            <a:ext cx="2520950" cy="1343025"/>
                          </a:xfrm>
                          <a:prstGeom prst="rect">
                            <a:avLst/>
                          </a:prstGeom>
                          <a:noFill/>
                          <a:ln>
                            <a:noFill/>
                          </a:ln>
                        </pic:spPr>
                      </pic:pic>
                    </a:graphicData>
                  </a:graphic>
                </wp:inline>
              </w:drawing>
            </w:r>
          </w:p>
        </w:tc>
        <w:tc>
          <w:tcPr>
            <w:tcW w:w="284" w:type="dxa"/>
            <w:shd w:val="clear" w:color="auto" w:fill="auto"/>
          </w:tcPr>
          <w:p w14:paraId="494600A1" w14:textId="77777777" w:rsidR="00324D41" w:rsidRPr="004B7A09" w:rsidRDefault="00324D41" w:rsidP="005500A9">
            <w:pPr>
              <w:tabs>
                <w:tab w:val="left" w:pos="2562"/>
              </w:tabs>
              <w:spacing w:after="0" w:line="480" w:lineRule="auto"/>
              <w:jc w:val="both"/>
              <w:rPr>
                <w:rFonts w:ascii="Times New Roman" w:eastAsia="Times New Roman" w:hAnsi="Times New Roman"/>
                <w:sz w:val="24"/>
                <w:szCs w:val="24"/>
                <w:lang w:val="id-ID"/>
              </w:rPr>
            </w:pPr>
          </w:p>
          <w:p w14:paraId="1D92EBB8" w14:textId="77777777" w:rsidR="00A1551E" w:rsidRPr="004B7A09" w:rsidRDefault="00324D41"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sz w:val="24"/>
                <w:szCs w:val="24"/>
                <w:lang w:val="id-ID"/>
              </w:rPr>
              <w:t>F</w:t>
            </w:r>
          </w:p>
        </w:tc>
        <w:tc>
          <w:tcPr>
            <w:tcW w:w="4599" w:type="dxa"/>
            <w:shd w:val="clear" w:color="auto" w:fill="auto"/>
          </w:tcPr>
          <w:p w14:paraId="2869B368" w14:textId="77777777" w:rsidR="00A1551E" w:rsidRPr="004B7A09" w:rsidRDefault="00EB5AAE" w:rsidP="005500A9">
            <w:pPr>
              <w:tabs>
                <w:tab w:val="left" w:pos="2562"/>
              </w:tabs>
              <w:spacing w:after="0" w:line="480" w:lineRule="auto"/>
              <w:jc w:val="both"/>
              <w:rPr>
                <w:rFonts w:ascii="Times New Roman" w:eastAsia="Times New Roman" w:hAnsi="Times New Roman"/>
                <w:sz w:val="24"/>
                <w:szCs w:val="24"/>
                <w:lang w:val="id-ID"/>
              </w:rPr>
            </w:pPr>
            <w:r w:rsidRPr="004B7A09">
              <w:rPr>
                <w:rFonts w:ascii="Times New Roman" w:eastAsia="Times New Roman" w:hAnsi="Times New Roman"/>
                <w:noProof/>
                <w:sz w:val="24"/>
                <w:szCs w:val="24"/>
                <w:lang w:val="id-ID" w:eastAsia="id-ID"/>
              </w:rPr>
              <w:drawing>
                <wp:inline distT="0" distB="0" distL="0" distR="0" wp14:anchorId="6E4C99D8" wp14:editId="0BB6D720">
                  <wp:extent cx="2586990" cy="1334770"/>
                  <wp:effectExtent l="0" t="0" r="3810" b="0"/>
                  <wp:docPr id="7" name="Picture 7" descr="Sitotoksik F6 (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totoksik F6 (F8)"/>
                          <pic:cNvPicPr>
                            <a:picLocks noChangeAspect="1" noChangeArrowheads="1"/>
                          </pic:cNvPicPr>
                        </pic:nvPicPr>
                        <pic:blipFill>
                          <a:blip r:embed="rId17" cstate="print">
                            <a:extLst>
                              <a:ext uri="{28A0092B-C50C-407E-A947-70E740481C1C}">
                                <a14:useLocalDpi xmlns:a14="http://schemas.microsoft.com/office/drawing/2010/main" val="0"/>
                              </a:ext>
                            </a:extLst>
                          </a:blip>
                          <a:srcRect l="10703" t="39307" r="11502" b="8453"/>
                          <a:stretch>
                            <a:fillRect/>
                          </a:stretch>
                        </pic:blipFill>
                        <pic:spPr bwMode="auto">
                          <a:xfrm>
                            <a:off x="0" y="0"/>
                            <a:ext cx="2586990" cy="1334770"/>
                          </a:xfrm>
                          <a:prstGeom prst="rect">
                            <a:avLst/>
                          </a:prstGeom>
                          <a:noFill/>
                          <a:ln>
                            <a:noFill/>
                          </a:ln>
                        </pic:spPr>
                      </pic:pic>
                    </a:graphicData>
                  </a:graphic>
                </wp:inline>
              </w:drawing>
            </w:r>
          </w:p>
        </w:tc>
      </w:tr>
    </w:tbl>
    <w:p w14:paraId="7DB8A7B3" w14:textId="77777777" w:rsidR="00DF083E" w:rsidRDefault="00FC0918" w:rsidP="005500A9">
      <w:pPr>
        <w:pStyle w:val="Caption"/>
        <w:spacing w:line="480" w:lineRule="auto"/>
        <w:ind w:left="567" w:hanging="567"/>
        <w:jc w:val="both"/>
        <w:rPr>
          <w:rFonts w:ascii="Times New Roman" w:eastAsia="Times New Roman" w:hAnsi="Times New Roman"/>
          <w:i w:val="0"/>
          <w:color w:val="auto"/>
          <w:sz w:val="22"/>
          <w:szCs w:val="22"/>
        </w:rPr>
      </w:pPr>
      <w:r>
        <w:rPr>
          <w:rFonts w:ascii="Times New Roman" w:hAnsi="Times New Roman"/>
          <w:b/>
          <w:i w:val="0"/>
          <w:color w:val="auto"/>
          <w:sz w:val="22"/>
          <w:szCs w:val="22"/>
        </w:rPr>
        <w:t>Figure</w:t>
      </w:r>
      <w:r w:rsidR="00324D41" w:rsidRPr="00C04769">
        <w:rPr>
          <w:rFonts w:ascii="Times New Roman" w:hAnsi="Times New Roman"/>
          <w:b/>
          <w:i w:val="0"/>
          <w:color w:val="auto"/>
          <w:sz w:val="22"/>
          <w:szCs w:val="22"/>
        </w:rPr>
        <w:t xml:space="preserve"> </w:t>
      </w:r>
      <w:r w:rsidR="00C04769" w:rsidRPr="00C04769">
        <w:rPr>
          <w:rFonts w:ascii="Times New Roman" w:hAnsi="Times New Roman"/>
          <w:b/>
          <w:i w:val="0"/>
          <w:color w:val="auto"/>
          <w:sz w:val="22"/>
          <w:szCs w:val="22"/>
        </w:rPr>
        <w:t>2.</w:t>
      </w:r>
      <w:r w:rsidR="00324D41" w:rsidRPr="00C04769">
        <w:rPr>
          <w:rFonts w:ascii="Times New Roman" w:hAnsi="Times New Roman"/>
          <w:b/>
          <w:i w:val="0"/>
          <w:color w:val="auto"/>
          <w:sz w:val="22"/>
          <w:szCs w:val="22"/>
        </w:rPr>
        <w:t xml:space="preserve"> </w:t>
      </w:r>
      <w:r>
        <w:rPr>
          <w:rFonts w:ascii="Times New Roman" w:hAnsi="Times New Roman"/>
          <w:b/>
          <w:i w:val="0"/>
          <w:color w:val="auto"/>
          <w:sz w:val="22"/>
          <w:szCs w:val="22"/>
        </w:rPr>
        <w:t>Cytotoxicity profile of roselle herbal tea F1 (A), F2 (B), F3 (C), F4 (D), F5 (E), F6 (F)</w:t>
      </w:r>
      <w:r w:rsidR="00324D41" w:rsidRPr="00324D41">
        <w:rPr>
          <w:rFonts w:ascii="Times New Roman" w:hAnsi="Times New Roman"/>
          <w:i w:val="0"/>
          <w:color w:val="auto"/>
          <w:sz w:val="22"/>
          <w:szCs w:val="22"/>
        </w:rPr>
        <w:t>. 5x10</w:t>
      </w:r>
      <w:r w:rsidR="00324D41" w:rsidRPr="00324D41">
        <w:rPr>
          <w:rFonts w:ascii="Times New Roman" w:hAnsi="Times New Roman"/>
          <w:i w:val="0"/>
          <w:color w:val="auto"/>
          <w:sz w:val="22"/>
          <w:szCs w:val="22"/>
          <w:vertAlign w:val="superscript"/>
        </w:rPr>
        <w:t>4</w:t>
      </w:r>
      <w:r w:rsidR="00324D41" w:rsidRPr="00324D41">
        <w:rPr>
          <w:rFonts w:ascii="Times New Roman" w:hAnsi="Times New Roman"/>
          <w:i w:val="0"/>
          <w:color w:val="auto"/>
          <w:sz w:val="22"/>
          <w:szCs w:val="22"/>
        </w:rPr>
        <w:t xml:space="preserve"> </w:t>
      </w:r>
      <w:r>
        <w:rPr>
          <w:rFonts w:ascii="Times New Roman" w:hAnsi="Times New Roman"/>
          <w:i w:val="0"/>
          <w:color w:val="auto"/>
          <w:sz w:val="22"/>
          <w:szCs w:val="22"/>
        </w:rPr>
        <w:t xml:space="preserve">T47D cells were seeded in each well of microplate 96-wells and treted with a concentation series of </w:t>
      </w:r>
      <w:r w:rsidR="00324D41" w:rsidRPr="00324D41">
        <w:rPr>
          <w:rFonts w:ascii="Times New Roman" w:hAnsi="Times New Roman"/>
          <w:i w:val="0"/>
          <w:noProof/>
          <w:color w:val="auto"/>
          <w:sz w:val="22"/>
          <w:szCs w:val="22"/>
        </w:rPr>
        <w:t>62,5-1000</w:t>
      </w:r>
      <w:r w:rsidR="00C04769" w:rsidRPr="00C04769">
        <w:rPr>
          <w:i w:val="0"/>
          <w:sz w:val="24"/>
        </w:rPr>
        <w:t xml:space="preserve"> </w:t>
      </w:r>
      <w:r w:rsidR="00C04769" w:rsidRPr="00C04769">
        <w:rPr>
          <w:rFonts w:ascii="Times New Roman" w:hAnsi="Times New Roman"/>
          <w:color w:val="auto"/>
          <w:sz w:val="22"/>
          <w:szCs w:val="22"/>
        </w:rPr>
        <w:t>µ</w:t>
      </w:r>
      <w:r w:rsidR="00C04769" w:rsidRPr="00C04769">
        <w:rPr>
          <w:rFonts w:ascii="Times New Roman" w:eastAsia="Times New Roman" w:hAnsi="Times New Roman"/>
          <w:i w:val="0"/>
          <w:color w:val="auto"/>
          <w:sz w:val="22"/>
          <w:szCs w:val="22"/>
        </w:rPr>
        <w:fldChar w:fldCharType="begin"/>
      </w:r>
      <w:r w:rsidR="00C04769" w:rsidRPr="00DF083E">
        <w:rPr>
          <w:rFonts w:ascii="Times New Roman" w:eastAsia="Times New Roman" w:hAnsi="Times New Roman"/>
          <w:i w:val="0"/>
          <w:color w:val="auto"/>
          <w:sz w:val="22"/>
          <w:szCs w:val="22"/>
        </w:rPr>
        <w:instrText xml:space="preserve"> QUOTE </w:instrText>
      </w:r>
      <m:oMath>
        <m:r>
          <w:rPr>
            <w:rFonts w:ascii="Cambria Math" w:hAnsi="Cambria Math"/>
            <w:sz w:val="24"/>
          </w:rPr>
          <m:t>μ</m:t>
        </m:r>
      </m:oMath>
      <w:r w:rsidR="00C04769" w:rsidRPr="00DF083E">
        <w:rPr>
          <w:rFonts w:ascii="Times New Roman" w:eastAsia="Times New Roman" w:hAnsi="Times New Roman"/>
          <w:i w:val="0"/>
          <w:color w:val="auto"/>
          <w:sz w:val="22"/>
          <w:szCs w:val="22"/>
        </w:rPr>
        <w:instrText xml:space="preserve"> </w:instrText>
      </w:r>
      <w:r w:rsidR="00C04769" w:rsidRPr="00C04769">
        <w:rPr>
          <w:rFonts w:ascii="Times New Roman" w:eastAsia="Times New Roman" w:hAnsi="Times New Roman"/>
          <w:i w:val="0"/>
          <w:color w:val="auto"/>
          <w:sz w:val="22"/>
          <w:szCs w:val="22"/>
        </w:rPr>
        <w:fldChar w:fldCharType="end"/>
      </w:r>
      <w:r w:rsidR="00C04769" w:rsidRPr="00C04769">
        <w:rPr>
          <w:rFonts w:ascii="Times New Roman" w:eastAsia="Times New Roman" w:hAnsi="Times New Roman"/>
          <w:i w:val="0"/>
          <w:color w:val="auto"/>
          <w:sz w:val="22"/>
          <w:szCs w:val="22"/>
        </w:rPr>
        <w:t>g/mL</w:t>
      </w:r>
      <w:r w:rsidR="00887221">
        <w:rPr>
          <w:rFonts w:ascii="Times New Roman" w:eastAsia="Times New Roman" w:hAnsi="Times New Roman"/>
          <w:i w:val="0"/>
          <w:color w:val="auto"/>
          <w:sz w:val="22"/>
          <w:szCs w:val="22"/>
        </w:rPr>
        <w:t>.</w:t>
      </w:r>
    </w:p>
    <w:p w14:paraId="30066C66" w14:textId="77777777" w:rsidR="00DF083E" w:rsidRPr="00DF083E" w:rsidRDefault="00DF083E" w:rsidP="005500A9">
      <w:pPr>
        <w:spacing w:line="480" w:lineRule="auto"/>
        <w:rPr>
          <w:lang w:val="id-ID"/>
        </w:rPr>
        <w:sectPr w:rsidR="00DF083E" w:rsidRPr="00DF083E" w:rsidSect="005500A9">
          <w:type w:val="continuous"/>
          <w:pgSz w:w="11907" w:h="16839" w:code="9"/>
          <w:pgMar w:top="1440" w:right="1440" w:bottom="1440" w:left="1440" w:header="720" w:footer="720" w:gutter="0"/>
          <w:cols w:space="283"/>
          <w:docGrid w:linePitch="360"/>
        </w:sectPr>
      </w:pPr>
    </w:p>
    <w:p w14:paraId="01794DF7" w14:textId="77777777" w:rsidR="003C2B87" w:rsidRPr="00AC1465" w:rsidRDefault="003C2B87" w:rsidP="005500A9">
      <w:pPr>
        <w:pStyle w:val="Caption"/>
        <w:keepNext/>
        <w:spacing w:before="120" w:line="480" w:lineRule="auto"/>
        <w:jc w:val="center"/>
        <w:rPr>
          <w:rFonts w:ascii="Times New Roman" w:hAnsi="Times New Roman"/>
          <w:b/>
          <w:i w:val="0"/>
          <w:color w:val="auto"/>
          <w:sz w:val="24"/>
          <w:szCs w:val="24"/>
        </w:rPr>
      </w:pPr>
      <w:r w:rsidRPr="00AC1465">
        <w:rPr>
          <w:rFonts w:ascii="Times New Roman" w:hAnsi="Times New Roman"/>
          <w:b/>
          <w:i w:val="0"/>
          <w:color w:val="auto"/>
          <w:sz w:val="24"/>
          <w:szCs w:val="24"/>
        </w:rPr>
        <w:t>Tabl</w:t>
      </w:r>
      <w:r w:rsidR="00FC0918">
        <w:rPr>
          <w:rFonts w:ascii="Times New Roman" w:hAnsi="Times New Roman"/>
          <w:b/>
          <w:i w:val="0"/>
          <w:color w:val="auto"/>
          <w:sz w:val="24"/>
          <w:szCs w:val="24"/>
        </w:rPr>
        <w:t>e</w:t>
      </w:r>
      <w:r w:rsidRPr="00AC1465">
        <w:rPr>
          <w:rFonts w:ascii="Times New Roman" w:hAnsi="Times New Roman"/>
          <w:b/>
          <w:i w:val="0"/>
          <w:color w:val="auto"/>
          <w:sz w:val="24"/>
          <w:szCs w:val="24"/>
        </w:rPr>
        <w:t xml:space="preserve"> </w:t>
      </w:r>
      <w:r w:rsidRPr="00AC1465">
        <w:rPr>
          <w:rFonts w:ascii="Times New Roman" w:hAnsi="Times New Roman"/>
          <w:b/>
          <w:i w:val="0"/>
          <w:color w:val="auto"/>
          <w:sz w:val="24"/>
          <w:szCs w:val="24"/>
        </w:rPr>
        <w:fldChar w:fldCharType="begin"/>
      </w:r>
      <w:r w:rsidRPr="00AC1465">
        <w:rPr>
          <w:rFonts w:ascii="Times New Roman" w:hAnsi="Times New Roman"/>
          <w:b/>
          <w:i w:val="0"/>
          <w:color w:val="auto"/>
          <w:sz w:val="24"/>
          <w:szCs w:val="24"/>
        </w:rPr>
        <w:instrText xml:space="preserve"> SEQ Tabel \* ARABIC </w:instrText>
      </w:r>
      <w:r w:rsidRPr="00AC1465">
        <w:rPr>
          <w:rFonts w:ascii="Times New Roman" w:hAnsi="Times New Roman"/>
          <w:b/>
          <w:i w:val="0"/>
          <w:color w:val="auto"/>
          <w:sz w:val="24"/>
          <w:szCs w:val="24"/>
        </w:rPr>
        <w:fldChar w:fldCharType="separate"/>
      </w:r>
      <w:r w:rsidR="003A0730">
        <w:rPr>
          <w:rFonts w:ascii="Times New Roman" w:hAnsi="Times New Roman"/>
          <w:b/>
          <w:i w:val="0"/>
          <w:noProof/>
          <w:color w:val="auto"/>
          <w:sz w:val="24"/>
          <w:szCs w:val="24"/>
        </w:rPr>
        <w:t>2</w:t>
      </w:r>
      <w:r w:rsidRPr="00AC1465">
        <w:rPr>
          <w:rFonts w:ascii="Times New Roman" w:hAnsi="Times New Roman"/>
          <w:b/>
          <w:i w:val="0"/>
          <w:color w:val="auto"/>
          <w:sz w:val="24"/>
          <w:szCs w:val="24"/>
        </w:rPr>
        <w:fldChar w:fldCharType="end"/>
      </w:r>
      <w:r w:rsidRPr="00AC1465">
        <w:rPr>
          <w:rFonts w:ascii="Times New Roman" w:hAnsi="Times New Roman"/>
          <w:b/>
          <w:i w:val="0"/>
          <w:color w:val="auto"/>
          <w:sz w:val="24"/>
          <w:szCs w:val="24"/>
        </w:rPr>
        <w:t>. IC</w:t>
      </w:r>
      <w:r w:rsidRPr="00AC1465">
        <w:rPr>
          <w:rFonts w:ascii="Times New Roman" w:hAnsi="Times New Roman"/>
          <w:b/>
          <w:i w:val="0"/>
          <w:color w:val="auto"/>
          <w:sz w:val="24"/>
          <w:szCs w:val="24"/>
          <w:vertAlign w:val="subscript"/>
        </w:rPr>
        <w:t>50</w:t>
      </w:r>
      <w:r w:rsidRPr="00AC1465">
        <w:rPr>
          <w:rFonts w:ascii="Times New Roman" w:hAnsi="Times New Roman"/>
          <w:b/>
          <w:i w:val="0"/>
          <w:color w:val="auto"/>
          <w:sz w:val="24"/>
          <w:szCs w:val="24"/>
        </w:rPr>
        <w:t xml:space="preserve"> </w:t>
      </w:r>
      <w:r w:rsidR="00FC0918">
        <w:rPr>
          <w:rFonts w:ascii="Times New Roman" w:hAnsi="Times New Roman"/>
          <w:b/>
          <w:i w:val="0"/>
          <w:color w:val="auto"/>
          <w:sz w:val="24"/>
          <w:szCs w:val="24"/>
        </w:rPr>
        <w:t>Value of Roselle Herbal Tea</w:t>
      </w:r>
    </w:p>
    <w:tbl>
      <w:tblPr>
        <w:tblW w:w="0" w:type="auto"/>
        <w:jc w:val="center"/>
        <w:tblBorders>
          <w:top w:val="single" w:sz="4" w:space="0" w:color="auto"/>
          <w:bottom w:val="single" w:sz="4" w:space="0" w:color="auto"/>
        </w:tblBorders>
        <w:tblLook w:val="04A0" w:firstRow="1" w:lastRow="0" w:firstColumn="1" w:lastColumn="0" w:noHBand="0" w:noVBand="1"/>
      </w:tblPr>
      <w:tblGrid>
        <w:gridCol w:w="1560"/>
        <w:gridCol w:w="1559"/>
        <w:gridCol w:w="1989"/>
        <w:gridCol w:w="1866"/>
      </w:tblGrid>
      <w:tr w:rsidR="003C2B87" w14:paraId="1874056A" w14:textId="77777777" w:rsidTr="004B7A09">
        <w:trPr>
          <w:jc w:val="center"/>
        </w:trPr>
        <w:tc>
          <w:tcPr>
            <w:tcW w:w="1560" w:type="dxa"/>
            <w:vMerge w:val="restart"/>
            <w:tcBorders>
              <w:top w:val="single" w:sz="4" w:space="0" w:color="auto"/>
              <w:bottom w:val="single" w:sz="4" w:space="0" w:color="auto"/>
            </w:tcBorders>
            <w:shd w:val="clear" w:color="auto" w:fill="auto"/>
            <w:vAlign w:val="center"/>
          </w:tcPr>
          <w:p w14:paraId="25B0A618" w14:textId="77777777" w:rsidR="003C2B87" w:rsidRPr="00FC0918" w:rsidRDefault="00FC0918" w:rsidP="005500A9">
            <w:pPr>
              <w:pStyle w:val="ListParagraph"/>
              <w:spacing w:line="480" w:lineRule="auto"/>
              <w:ind w:left="0"/>
              <w:jc w:val="center"/>
              <w:rPr>
                <w:rFonts w:ascii="Times New Roman" w:eastAsia="Times New Roman" w:hAnsi="Times New Roman"/>
                <w:sz w:val="24"/>
                <w:lang w:val="id-ID"/>
              </w:rPr>
            </w:pPr>
            <w:r>
              <w:rPr>
                <w:rFonts w:ascii="Times New Roman" w:eastAsia="Times New Roman" w:hAnsi="Times New Roman"/>
                <w:sz w:val="24"/>
                <w:lang w:val="id-ID"/>
              </w:rPr>
              <w:t>Formulation</w:t>
            </w:r>
          </w:p>
        </w:tc>
        <w:tc>
          <w:tcPr>
            <w:tcW w:w="3548" w:type="dxa"/>
            <w:gridSpan w:val="2"/>
            <w:tcBorders>
              <w:top w:val="single" w:sz="4" w:space="0" w:color="auto"/>
              <w:bottom w:val="single" w:sz="4" w:space="0" w:color="auto"/>
            </w:tcBorders>
            <w:shd w:val="clear" w:color="auto" w:fill="auto"/>
          </w:tcPr>
          <w:p w14:paraId="04E0A464" w14:textId="77777777" w:rsidR="003C2B87" w:rsidRPr="00FC0918" w:rsidRDefault="00FC0918" w:rsidP="005500A9">
            <w:pPr>
              <w:pStyle w:val="ListParagraph"/>
              <w:spacing w:after="0" w:line="480" w:lineRule="auto"/>
              <w:ind w:left="0"/>
              <w:jc w:val="center"/>
              <w:rPr>
                <w:rFonts w:ascii="Times New Roman" w:eastAsia="Times New Roman" w:hAnsi="Times New Roman"/>
                <w:sz w:val="24"/>
                <w:lang w:val="id-ID"/>
              </w:rPr>
            </w:pPr>
            <w:r>
              <w:rPr>
                <w:rFonts w:ascii="Times New Roman" w:eastAsia="Times New Roman" w:hAnsi="Times New Roman"/>
                <w:sz w:val="24"/>
                <w:lang w:val="id-ID"/>
              </w:rPr>
              <w:t>Additional Materials</w:t>
            </w:r>
          </w:p>
        </w:tc>
        <w:tc>
          <w:tcPr>
            <w:tcW w:w="1866" w:type="dxa"/>
            <w:vMerge w:val="restart"/>
            <w:tcBorders>
              <w:top w:val="single" w:sz="4" w:space="0" w:color="auto"/>
              <w:bottom w:val="single" w:sz="4" w:space="0" w:color="auto"/>
            </w:tcBorders>
            <w:shd w:val="clear" w:color="auto" w:fill="auto"/>
            <w:vAlign w:val="center"/>
          </w:tcPr>
          <w:p w14:paraId="390F3BC0" w14:textId="77777777" w:rsidR="003C2B87" w:rsidRPr="004B7A09" w:rsidRDefault="003C2B87" w:rsidP="005500A9">
            <w:pPr>
              <w:pStyle w:val="ListParagraph"/>
              <w:spacing w:line="480" w:lineRule="auto"/>
              <w:ind w:left="0"/>
              <w:jc w:val="center"/>
              <w:rPr>
                <w:rFonts w:ascii="Times New Roman" w:eastAsia="Times New Roman" w:hAnsi="Times New Roman"/>
                <w:sz w:val="24"/>
              </w:rPr>
            </w:pPr>
            <w:r w:rsidRPr="00D11696">
              <w:rPr>
                <w:rFonts w:ascii="Times New Roman" w:eastAsia="Times New Roman" w:hAnsi="Times New Roman"/>
                <w:sz w:val="24"/>
              </w:rPr>
              <w:t>IC</w:t>
            </w:r>
            <w:r w:rsidRPr="004B7A09">
              <w:rPr>
                <w:rFonts w:ascii="Times New Roman" w:eastAsia="Times New Roman" w:hAnsi="Times New Roman"/>
                <w:sz w:val="24"/>
                <w:vertAlign w:val="subscript"/>
              </w:rPr>
              <w:t>50</w:t>
            </w:r>
            <w:r w:rsidRPr="004B7A09">
              <w:rPr>
                <w:rFonts w:ascii="Times New Roman" w:eastAsia="Times New Roman" w:hAnsi="Times New Roman"/>
                <w:sz w:val="24"/>
              </w:rPr>
              <w:t xml:space="preserve"> </w:t>
            </w:r>
            <w:r w:rsidR="00FC0918">
              <w:rPr>
                <w:rFonts w:ascii="Times New Roman" w:eastAsia="Times New Roman" w:hAnsi="Times New Roman"/>
                <w:sz w:val="24"/>
                <w:lang w:val="id-ID"/>
              </w:rPr>
              <w:t xml:space="preserve">value </w:t>
            </w:r>
            <w:r w:rsidRPr="004B7A09">
              <w:rPr>
                <w:rFonts w:ascii="Times New Roman" w:eastAsia="Times New Roman" w:hAnsi="Times New Roman"/>
                <w:sz w:val="24"/>
              </w:rPr>
              <w:t>(</w:t>
            </w:r>
            <w:r w:rsidR="004E0E29" w:rsidRPr="00FC0918">
              <w:rPr>
                <w:rFonts w:ascii="Times New Roman" w:eastAsia="Times New Roman" w:hAnsi="Times New Roman"/>
                <w:sz w:val="24"/>
              </w:rPr>
              <w:t>µ</w:t>
            </w:r>
            <w:r w:rsidRPr="004B7A09">
              <w:rPr>
                <w:rFonts w:ascii="Times New Roman" w:eastAsia="Times New Roman" w:hAnsi="Times New Roman"/>
                <w:sz w:val="24"/>
              </w:rPr>
              <w:fldChar w:fldCharType="begin"/>
            </w:r>
            <w:r w:rsidRPr="004B7A09">
              <w:rPr>
                <w:rFonts w:ascii="Times New Roman" w:eastAsia="Times New Roman" w:hAnsi="Times New Roman"/>
                <w:sz w:val="24"/>
              </w:rPr>
              <w:instrText xml:space="preserve"> QUOTE </w:instrText>
            </w:r>
            <m:oMath>
              <m:r>
                <m:rPr>
                  <m:sty m:val="p"/>
                </m:rPr>
                <w:rPr>
                  <w:rFonts w:ascii="Cambria Math" w:hAnsi="Cambria Math"/>
                  <w:sz w:val="24"/>
                </w:rPr>
                <m:t>μ</m:t>
              </m:r>
            </m:oMath>
            <w:r w:rsidRPr="004B7A09">
              <w:rPr>
                <w:rFonts w:ascii="Times New Roman" w:eastAsia="Times New Roman" w:hAnsi="Times New Roman"/>
                <w:sz w:val="24"/>
              </w:rPr>
              <w:instrText xml:space="preserve"> </w:instrText>
            </w:r>
            <w:r w:rsidRPr="004B7A09">
              <w:rPr>
                <w:rFonts w:ascii="Times New Roman" w:eastAsia="Times New Roman" w:hAnsi="Times New Roman"/>
                <w:sz w:val="24"/>
              </w:rPr>
              <w:fldChar w:fldCharType="end"/>
            </w:r>
            <w:r w:rsidRPr="004B7A09">
              <w:rPr>
                <w:rFonts w:ascii="Times New Roman" w:eastAsia="Times New Roman" w:hAnsi="Times New Roman"/>
                <w:sz w:val="24"/>
              </w:rPr>
              <w:t>g/mL)</w:t>
            </w:r>
          </w:p>
        </w:tc>
      </w:tr>
      <w:tr w:rsidR="003C2B87" w14:paraId="5B87C284" w14:textId="77777777" w:rsidTr="004B7A09">
        <w:trPr>
          <w:jc w:val="center"/>
        </w:trPr>
        <w:tc>
          <w:tcPr>
            <w:tcW w:w="1560" w:type="dxa"/>
            <w:vMerge/>
            <w:tcBorders>
              <w:top w:val="nil"/>
              <w:bottom w:val="single" w:sz="4" w:space="0" w:color="auto"/>
            </w:tcBorders>
            <w:shd w:val="clear" w:color="auto" w:fill="auto"/>
          </w:tcPr>
          <w:p w14:paraId="36006868" w14:textId="77777777" w:rsidR="003C2B87" w:rsidRPr="004B7A09" w:rsidRDefault="003C2B87" w:rsidP="005500A9">
            <w:pPr>
              <w:pStyle w:val="ListParagraph"/>
              <w:spacing w:after="0" w:line="480" w:lineRule="auto"/>
              <w:ind w:left="0"/>
              <w:jc w:val="center"/>
              <w:rPr>
                <w:rFonts w:ascii="Times New Roman" w:eastAsia="Times New Roman" w:hAnsi="Times New Roman"/>
                <w:sz w:val="24"/>
              </w:rPr>
            </w:pPr>
          </w:p>
        </w:tc>
        <w:tc>
          <w:tcPr>
            <w:tcW w:w="1559" w:type="dxa"/>
            <w:tcBorders>
              <w:top w:val="single" w:sz="4" w:space="0" w:color="auto"/>
              <w:bottom w:val="single" w:sz="4" w:space="0" w:color="auto"/>
            </w:tcBorders>
            <w:shd w:val="clear" w:color="auto" w:fill="auto"/>
          </w:tcPr>
          <w:p w14:paraId="48B240C3" w14:textId="77777777" w:rsidR="003C2B87" w:rsidRPr="004B7A09" w:rsidRDefault="00FC0918" w:rsidP="005500A9">
            <w:pPr>
              <w:pStyle w:val="ListParagraph"/>
              <w:spacing w:after="0" w:line="480" w:lineRule="auto"/>
              <w:ind w:left="0"/>
              <w:jc w:val="center"/>
              <w:rPr>
                <w:rFonts w:ascii="Times New Roman" w:eastAsia="Times New Roman" w:hAnsi="Times New Roman"/>
                <w:sz w:val="24"/>
              </w:rPr>
            </w:pPr>
            <w:r>
              <w:rPr>
                <w:rFonts w:ascii="Times New Roman" w:eastAsia="Times New Roman" w:hAnsi="Times New Roman"/>
                <w:sz w:val="24"/>
                <w:lang w:val="id-ID"/>
              </w:rPr>
              <w:t>Cinnamon</w:t>
            </w:r>
            <w:r w:rsidR="003C2B87" w:rsidRPr="004B7A09">
              <w:rPr>
                <w:rFonts w:ascii="Times New Roman" w:eastAsia="Times New Roman" w:hAnsi="Times New Roman"/>
                <w:sz w:val="24"/>
              </w:rPr>
              <w:t xml:space="preserve"> (gram)</w:t>
            </w:r>
          </w:p>
        </w:tc>
        <w:tc>
          <w:tcPr>
            <w:tcW w:w="1989" w:type="dxa"/>
            <w:tcBorders>
              <w:top w:val="single" w:sz="4" w:space="0" w:color="auto"/>
              <w:bottom w:val="single" w:sz="4" w:space="0" w:color="auto"/>
            </w:tcBorders>
            <w:shd w:val="clear" w:color="auto" w:fill="auto"/>
          </w:tcPr>
          <w:p w14:paraId="796B50A7" w14:textId="77777777" w:rsidR="003C2B87" w:rsidRPr="004B7A09" w:rsidRDefault="00FC0918" w:rsidP="005500A9">
            <w:pPr>
              <w:pStyle w:val="ListParagraph"/>
              <w:spacing w:after="0" w:line="480" w:lineRule="auto"/>
              <w:ind w:left="0"/>
              <w:jc w:val="center"/>
              <w:rPr>
                <w:rFonts w:ascii="Times New Roman" w:eastAsia="Times New Roman" w:hAnsi="Times New Roman"/>
                <w:sz w:val="24"/>
              </w:rPr>
            </w:pPr>
            <w:r>
              <w:rPr>
                <w:rFonts w:ascii="Times New Roman" w:eastAsia="Times New Roman" w:hAnsi="Times New Roman"/>
                <w:sz w:val="24"/>
                <w:lang w:val="id-ID"/>
              </w:rPr>
              <w:t>Lemongrass Oil Vapor</w:t>
            </w:r>
            <w:r w:rsidR="003C2B87" w:rsidRPr="004B7A09">
              <w:rPr>
                <w:rFonts w:ascii="Times New Roman" w:eastAsia="Times New Roman" w:hAnsi="Times New Roman"/>
                <w:sz w:val="24"/>
              </w:rPr>
              <w:t xml:space="preserve"> (</w:t>
            </w:r>
            <w:proofErr w:type="spellStart"/>
            <w:r w:rsidR="003C2B87" w:rsidRPr="004B7A09">
              <w:rPr>
                <w:rFonts w:ascii="Times New Roman" w:eastAsia="Times New Roman" w:hAnsi="Times New Roman"/>
                <w:sz w:val="24"/>
              </w:rPr>
              <w:t>detik</w:t>
            </w:r>
            <w:proofErr w:type="spellEnd"/>
            <w:r w:rsidR="003C2B87" w:rsidRPr="004B7A09">
              <w:rPr>
                <w:rFonts w:ascii="Times New Roman" w:eastAsia="Times New Roman" w:hAnsi="Times New Roman"/>
                <w:sz w:val="24"/>
              </w:rPr>
              <w:t>)</w:t>
            </w:r>
          </w:p>
        </w:tc>
        <w:tc>
          <w:tcPr>
            <w:tcW w:w="1866" w:type="dxa"/>
            <w:vMerge/>
            <w:tcBorders>
              <w:top w:val="nil"/>
              <w:bottom w:val="single" w:sz="4" w:space="0" w:color="auto"/>
            </w:tcBorders>
            <w:shd w:val="clear" w:color="auto" w:fill="auto"/>
          </w:tcPr>
          <w:p w14:paraId="25021260" w14:textId="77777777" w:rsidR="003C2B87" w:rsidRPr="004B7A09" w:rsidRDefault="003C2B87" w:rsidP="005500A9">
            <w:pPr>
              <w:pStyle w:val="ListParagraph"/>
              <w:spacing w:after="0" w:line="480" w:lineRule="auto"/>
              <w:ind w:left="0"/>
              <w:jc w:val="center"/>
              <w:rPr>
                <w:rFonts w:ascii="Times New Roman" w:eastAsia="Times New Roman" w:hAnsi="Times New Roman"/>
                <w:sz w:val="24"/>
              </w:rPr>
            </w:pPr>
          </w:p>
        </w:tc>
      </w:tr>
      <w:tr w:rsidR="003C2B87" w14:paraId="047325F6" w14:textId="77777777" w:rsidTr="004B7A09">
        <w:trPr>
          <w:jc w:val="center"/>
        </w:trPr>
        <w:tc>
          <w:tcPr>
            <w:tcW w:w="1560" w:type="dxa"/>
            <w:tcBorders>
              <w:top w:val="single" w:sz="4" w:space="0" w:color="auto"/>
            </w:tcBorders>
            <w:shd w:val="clear" w:color="auto" w:fill="auto"/>
          </w:tcPr>
          <w:p w14:paraId="023E3366" w14:textId="77777777" w:rsidR="003C2B87" w:rsidRPr="004B7A09" w:rsidRDefault="003C2B87" w:rsidP="005500A9">
            <w:pPr>
              <w:pStyle w:val="ListParagraph"/>
              <w:spacing w:after="0" w:line="480" w:lineRule="auto"/>
              <w:ind w:left="0"/>
              <w:jc w:val="both"/>
              <w:rPr>
                <w:rFonts w:ascii="Times New Roman" w:eastAsia="Times New Roman" w:hAnsi="Times New Roman"/>
                <w:sz w:val="24"/>
              </w:rPr>
            </w:pPr>
            <w:r w:rsidRPr="004B7A09">
              <w:rPr>
                <w:rFonts w:ascii="Times New Roman" w:eastAsia="Times New Roman" w:hAnsi="Times New Roman"/>
                <w:sz w:val="24"/>
              </w:rPr>
              <w:t xml:space="preserve">F1   </w:t>
            </w:r>
          </w:p>
        </w:tc>
        <w:tc>
          <w:tcPr>
            <w:tcW w:w="1559" w:type="dxa"/>
            <w:tcBorders>
              <w:top w:val="single" w:sz="4" w:space="0" w:color="auto"/>
            </w:tcBorders>
            <w:shd w:val="clear" w:color="auto" w:fill="auto"/>
          </w:tcPr>
          <w:p w14:paraId="274683AF"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0</w:t>
            </w:r>
          </w:p>
        </w:tc>
        <w:tc>
          <w:tcPr>
            <w:tcW w:w="1989" w:type="dxa"/>
            <w:tcBorders>
              <w:top w:val="single" w:sz="4" w:space="0" w:color="auto"/>
            </w:tcBorders>
            <w:shd w:val="clear" w:color="auto" w:fill="auto"/>
          </w:tcPr>
          <w:p w14:paraId="573689D2"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0</w:t>
            </w:r>
          </w:p>
        </w:tc>
        <w:tc>
          <w:tcPr>
            <w:tcW w:w="1866" w:type="dxa"/>
            <w:tcBorders>
              <w:top w:val="single" w:sz="4" w:space="0" w:color="auto"/>
            </w:tcBorders>
            <w:shd w:val="clear" w:color="auto" w:fill="auto"/>
          </w:tcPr>
          <w:p w14:paraId="62522570"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2.066,6</w:t>
            </w:r>
          </w:p>
        </w:tc>
      </w:tr>
      <w:tr w:rsidR="003C2B87" w14:paraId="1D4837CA" w14:textId="77777777" w:rsidTr="004B7A09">
        <w:trPr>
          <w:jc w:val="center"/>
        </w:trPr>
        <w:tc>
          <w:tcPr>
            <w:tcW w:w="1560" w:type="dxa"/>
            <w:shd w:val="clear" w:color="auto" w:fill="auto"/>
          </w:tcPr>
          <w:p w14:paraId="508413E6" w14:textId="77777777" w:rsidR="003C2B87" w:rsidRPr="004B7A09" w:rsidRDefault="003C2B87" w:rsidP="005500A9">
            <w:pPr>
              <w:spacing w:after="0" w:line="480" w:lineRule="auto"/>
              <w:jc w:val="both"/>
              <w:rPr>
                <w:rFonts w:ascii="Times New Roman" w:eastAsia="Times New Roman" w:hAnsi="Times New Roman"/>
                <w:sz w:val="24"/>
              </w:rPr>
            </w:pPr>
            <w:r w:rsidRPr="004B7A09">
              <w:rPr>
                <w:rFonts w:ascii="Times New Roman" w:eastAsia="Times New Roman" w:hAnsi="Times New Roman"/>
                <w:sz w:val="24"/>
              </w:rPr>
              <w:t>F2</w:t>
            </w:r>
          </w:p>
        </w:tc>
        <w:tc>
          <w:tcPr>
            <w:tcW w:w="1559" w:type="dxa"/>
            <w:shd w:val="clear" w:color="auto" w:fill="auto"/>
          </w:tcPr>
          <w:p w14:paraId="75FC4DF8"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15</w:t>
            </w:r>
          </w:p>
        </w:tc>
        <w:tc>
          <w:tcPr>
            <w:tcW w:w="1989" w:type="dxa"/>
            <w:shd w:val="clear" w:color="auto" w:fill="auto"/>
          </w:tcPr>
          <w:p w14:paraId="6B48271D"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0</w:t>
            </w:r>
          </w:p>
        </w:tc>
        <w:tc>
          <w:tcPr>
            <w:tcW w:w="1866" w:type="dxa"/>
            <w:shd w:val="clear" w:color="auto" w:fill="auto"/>
          </w:tcPr>
          <w:p w14:paraId="4A1185D6"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1.554,62</w:t>
            </w:r>
          </w:p>
        </w:tc>
      </w:tr>
      <w:tr w:rsidR="003C2B87" w14:paraId="5CB526D3" w14:textId="77777777" w:rsidTr="004B7A09">
        <w:trPr>
          <w:jc w:val="center"/>
        </w:trPr>
        <w:tc>
          <w:tcPr>
            <w:tcW w:w="1560" w:type="dxa"/>
            <w:shd w:val="clear" w:color="auto" w:fill="auto"/>
          </w:tcPr>
          <w:p w14:paraId="7690FA13" w14:textId="77777777" w:rsidR="003C2B87" w:rsidRPr="004B7A09" w:rsidRDefault="003C2B87" w:rsidP="005500A9">
            <w:pPr>
              <w:pStyle w:val="ListParagraph"/>
              <w:spacing w:after="0" w:line="480" w:lineRule="auto"/>
              <w:ind w:left="0"/>
              <w:jc w:val="both"/>
              <w:rPr>
                <w:rFonts w:ascii="Times New Roman" w:eastAsia="Times New Roman" w:hAnsi="Times New Roman"/>
                <w:sz w:val="24"/>
              </w:rPr>
            </w:pPr>
            <w:r w:rsidRPr="004B7A09">
              <w:rPr>
                <w:rFonts w:ascii="Times New Roman" w:eastAsia="Times New Roman" w:hAnsi="Times New Roman"/>
                <w:sz w:val="24"/>
              </w:rPr>
              <w:t>F3</w:t>
            </w:r>
          </w:p>
        </w:tc>
        <w:tc>
          <w:tcPr>
            <w:tcW w:w="1559" w:type="dxa"/>
            <w:shd w:val="clear" w:color="auto" w:fill="auto"/>
          </w:tcPr>
          <w:p w14:paraId="32D6A5DC"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10</w:t>
            </w:r>
          </w:p>
        </w:tc>
        <w:tc>
          <w:tcPr>
            <w:tcW w:w="1989" w:type="dxa"/>
            <w:shd w:val="clear" w:color="auto" w:fill="auto"/>
          </w:tcPr>
          <w:p w14:paraId="6FA5C59B"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5</w:t>
            </w:r>
          </w:p>
        </w:tc>
        <w:tc>
          <w:tcPr>
            <w:tcW w:w="1866" w:type="dxa"/>
            <w:shd w:val="clear" w:color="auto" w:fill="auto"/>
          </w:tcPr>
          <w:p w14:paraId="459ABF99"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1.593,82</w:t>
            </w:r>
          </w:p>
        </w:tc>
      </w:tr>
      <w:tr w:rsidR="003C2B87" w14:paraId="6A76FF7A" w14:textId="77777777" w:rsidTr="004B7A09">
        <w:trPr>
          <w:jc w:val="center"/>
        </w:trPr>
        <w:tc>
          <w:tcPr>
            <w:tcW w:w="1560" w:type="dxa"/>
            <w:shd w:val="clear" w:color="auto" w:fill="auto"/>
          </w:tcPr>
          <w:p w14:paraId="2C9F491E" w14:textId="77777777" w:rsidR="003C2B87" w:rsidRPr="004B7A09" w:rsidRDefault="003C2B87" w:rsidP="005500A9">
            <w:pPr>
              <w:pStyle w:val="ListParagraph"/>
              <w:spacing w:after="0" w:line="480" w:lineRule="auto"/>
              <w:ind w:left="0"/>
              <w:jc w:val="both"/>
              <w:rPr>
                <w:rFonts w:ascii="Times New Roman" w:eastAsia="Times New Roman" w:hAnsi="Times New Roman"/>
                <w:sz w:val="24"/>
                <w:lang w:val="id-ID"/>
              </w:rPr>
            </w:pPr>
            <w:r w:rsidRPr="004B7A09">
              <w:rPr>
                <w:rFonts w:ascii="Times New Roman" w:eastAsia="Times New Roman" w:hAnsi="Times New Roman"/>
                <w:sz w:val="24"/>
              </w:rPr>
              <w:t>F</w:t>
            </w:r>
            <w:r w:rsidRPr="004B7A09">
              <w:rPr>
                <w:rFonts w:ascii="Times New Roman" w:eastAsia="Times New Roman" w:hAnsi="Times New Roman"/>
                <w:sz w:val="24"/>
                <w:lang w:val="id-ID"/>
              </w:rPr>
              <w:t>4</w:t>
            </w:r>
          </w:p>
        </w:tc>
        <w:tc>
          <w:tcPr>
            <w:tcW w:w="1559" w:type="dxa"/>
            <w:shd w:val="clear" w:color="auto" w:fill="auto"/>
          </w:tcPr>
          <w:p w14:paraId="75C4BCEA"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15</w:t>
            </w:r>
          </w:p>
        </w:tc>
        <w:tc>
          <w:tcPr>
            <w:tcW w:w="1989" w:type="dxa"/>
            <w:shd w:val="clear" w:color="auto" w:fill="auto"/>
          </w:tcPr>
          <w:p w14:paraId="179065FB"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5</w:t>
            </w:r>
          </w:p>
        </w:tc>
        <w:tc>
          <w:tcPr>
            <w:tcW w:w="1866" w:type="dxa"/>
            <w:shd w:val="clear" w:color="auto" w:fill="auto"/>
          </w:tcPr>
          <w:p w14:paraId="19A50329"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1.260,04</w:t>
            </w:r>
          </w:p>
        </w:tc>
      </w:tr>
      <w:tr w:rsidR="003C2B87" w14:paraId="64B584D6" w14:textId="77777777" w:rsidTr="004B7A09">
        <w:trPr>
          <w:jc w:val="center"/>
        </w:trPr>
        <w:tc>
          <w:tcPr>
            <w:tcW w:w="1560" w:type="dxa"/>
            <w:shd w:val="clear" w:color="auto" w:fill="auto"/>
          </w:tcPr>
          <w:p w14:paraId="7233E560" w14:textId="77777777" w:rsidR="003C2B87" w:rsidRPr="004B7A09" w:rsidRDefault="003C2B87" w:rsidP="005500A9">
            <w:pPr>
              <w:pStyle w:val="ListParagraph"/>
              <w:spacing w:after="0" w:line="480" w:lineRule="auto"/>
              <w:ind w:left="0"/>
              <w:jc w:val="both"/>
              <w:rPr>
                <w:rFonts w:ascii="Times New Roman" w:eastAsia="Times New Roman" w:hAnsi="Times New Roman"/>
                <w:sz w:val="24"/>
                <w:lang w:val="id-ID"/>
              </w:rPr>
            </w:pPr>
            <w:r w:rsidRPr="004B7A09">
              <w:rPr>
                <w:rFonts w:ascii="Times New Roman" w:eastAsia="Times New Roman" w:hAnsi="Times New Roman"/>
                <w:sz w:val="24"/>
              </w:rPr>
              <w:t>F</w:t>
            </w:r>
            <w:r w:rsidRPr="004B7A09">
              <w:rPr>
                <w:rFonts w:ascii="Times New Roman" w:eastAsia="Times New Roman" w:hAnsi="Times New Roman"/>
                <w:sz w:val="24"/>
                <w:lang w:val="id-ID"/>
              </w:rPr>
              <w:t>5</w:t>
            </w:r>
          </w:p>
        </w:tc>
        <w:tc>
          <w:tcPr>
            <w:tcW w:w="1559" w:type="dxa"/>
            <w:shd w:val="clear" w:color="auto" w:fill="auto"/>
          </w:tcPr>
          <w:p w14:paraId="4BF38FF5"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10</w:t>
            </w:r>
          </w:p>
        </w:tc>
        <w:tc>
          <w:tcPr>
            <w:tcW w:w="1989" w:type="dxa"/>
            <w:shd w:val="clear" w:color="auto" w:fill="auto"/>
          </w:tcPr>
          <w:p w14:paraId="59E67C0D"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10</w:t>
            </w:r>
          </w:p>
        </w:tc>
        <w:tc>
          <w:tcPr>
            <w:tcW w:w="1866" w:type="dxa"/>
            <w:shd w:val="clear" w:color="auto" w:fill="auto"/>
          </w:tcPr>
          <w:p w14:paraId="7A31D496" w14:textId="77777777" w:rsidR="003C2B87" w:rsidRPr="004B7A09" w:rsidRDefault="003C2B87" w:rsidP="005500A9">
            <w:pPr>
              <w:pStyle w:val="ListParagraph"/>
              <w:tabs>
                <w:tab w:val="left" w:pos="277"/>
                <w:tab w:val="center" w:pos="743"/>
              </w:tabs>
              <w:spacing w:after="0" w:line="480" w:lineRule="auto"/>
              <w:ind w:left="0" w:right="164"/>
              <w:rPr>
                <w:rFonts w:ascii="Times New Roman" w:eastAsia="Times New Roman" w:hAnsi="Times New Roman"/>
                <w:sz w:val="24"/>
              </w:rPr>
            </w:pPr>
            <w:r w:rsidRPr="004B7A09">
              <w:rPr>
                <w:rFonts w:ascii="Times New Roman" w:eastAsia="Times New Roman" w:hAnsi="Times New Roman"/>
                <w:sz w:val="24"/>
              </w:rPr>
              <w:tab/>
            </w:r>
            <w:r w:rsidRPr="004B7A09">
              <w:rPr>
                <w:rFonts w:ascii="Times New Roman" w:eastAsia="Times New Roman" w:hAnsi="Times New Roman"/>
                <w:sz w:val="24"/>
              </w:rPr>
              <w:tab/>
              <w:t>985,2</w:t>
            </w:r>
          </w:p>
        </w:tc>
      </w:tr>
      <w:tr w:rsidR="003C2B87" w14:paraId="68CB3D7D" w14:textId="77777777" w:rsidTr="004B7A09">
        <w:trPr>
          <w:jc w:val="center"/>
        </w:trPr>
        <w:tc>
          <w:tcPr>
            <w:tcW w:w="1560" w:type="dxa"/>
            <w:shd w:val="clear" w:color="auto" w:fill="auto"/>
          </w:tcPr>
          <w:p w14:paraId="22B5F9CF" w14:textId="77777777" w:rsidR="003C2B87" w:rsidRPr="004B7A09" w:rsidRDefault="003C2B87" w:rsidP="005500A9">
            <w:pPr>
              <w:pStyle w:val="ListParagraph"/>
              <w:spacing w:after="0" w:line="480" w:lineRule="auto"/>
              <w:ind w:left="0"/>
              <w:rPr>
                <w:rFonts w:ascii="Times New Roman" w:eastAsia="Times New Roman" w:hAnsi="Times New Roman"/>
                <w:sz w:val="24"/>
              </w:rPr>
            </w:pPr>
            <w:r w:rsidRPr="004B7A09">
              <w:rPr>
                <w:rFonts w:ascii="Times New Roman" w:eastAsia="Times New Roman" w:hAnsi="Times New Roman"/>
                <w:sz w:val="24"/>
              </w:rPr>
              <w:t>F6</w:t>
            </w:r>
          </w:p>
        </w:tc>
        <w:tc>
          <w:tcPr>
            <w:tcW w:w="1559" w:type="dxa"/>
            <w:shd w:val="clear" w:color="auto" w:fill="auto"/>
          </w:tcPr>
          <w:p w14:paraId="3A3D3B8A"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5</w:t>
            </w:r>
          </w:p>
        </w:tc>
        <w:tc>
          <w:tcPr>
            <w:tcW w:w="1989" w:type="dxa"/>
            <w:shd w:val="clear" w:color="auto" w:fill="auto"/>
          </w:tcPr>
          <w:p w14:paraId="5A21DF98"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15</w:t>
            </w:r>
          </w:p>
        </w:tc>
        <w:tc>
          <w:tcPr>
            <w:tcW w:w="1866" w:type="dxa"/>
            <w:shd w:val="clear" w:color="auto" w:fill="auto"/>
          </w:tcPr>
          <w:p w14:paraId="608BA87A" w14:textId="77777777" w:rsidR="003C2B87" w:rsidRPr="004B7A09" w:rsidRDefault="003C2B87" w:rsidP="005500A9">
            <w:pPr>
              <w:pStyle w:val="ListParagraph"/>
              <w:spacing w:after="0" w:line="480" w:lineRule="auto"/>
              <w:ind w:left="0" w:right="164"/>
              <w:jc w:val="center"/>
              <w:rPr>
                <w:rFonts w:ascii="Times New Roman" w:eastAsia="Times New Roman" w:hAnsi="Times New Roman"/>
                <w:sz w:val="24"/>
              </w:rPr>
            </w:pPr>
            <w:r w:rsidRPr="004B7A09">
              <w:rPr>
                <w:rFonts w:ascii="Times New Roman" w:eastAsia="Times New Roman" w:hAnsi="Times New Roman"/>
                <w:sz w:val="24"/>
              </w:rPr>
              <w:t>730</w:t>
            </w:r>
          </w:p>
        </w:tc>
      </w:tr>
    </w:tbl>
    <w:p w14:paraId="5802D733" w14:textId="77777777" w:rsidR="00887221" w:rsidRDefault="00887221" w:rsidP="005500A9">
      <w:pPr>
        <w:spacing w:before="240" w:after="0" w:line="480" w:lineRule="auto"/>
        <w:ind w:firstLine="709"/>
        <w:jc w:val="both"/>
        <w:rPr>
          <w:rFonts w:ascii="Times New Roman" w:hAnsi="Times New Roman"/>
          <w:sz w:val="24"/>
        </w:rPr>
        <w:sectPr w:rsidR="00887221" w:rsidSect="005500A9">
          <w:type w:val="continuous"/>
          <w:pgSz w:w="11907" w:h="16839" w:code="9"/>
          <w:pgMar w:top="1440" w:right="1440" w:bottom="1440" w:left="1440" w:header="720" w:footer="720" w:gutter="0"/>
          <w:cols w:space="283"/>
          <w:docGrid w:linePitch="360"/>
        </w:sectPr>
      </w:pPr>
    </w:p>
    <w:p w14:paraId="0006A3DC" w14:textId="77777777" w:rsidR="00BD516A" w:rsidRPr="00BD516A" w:rsidRDefault="00FC0918" w:rsidP="005500A9">
      <w:pPr>
        <w:spacing w:before="240" w:line="480" w:lineRule="auto"/>
        <w:ind w:firstLine="709"/>
        <w:jc w:val="both"/>
        <w:rPr>
          <w:rFonts w:ascii="Times New Roman" w:hAnsi="Times New Roman"/>
          <w:sz w:val="24"/>
          <w:szCs w:val="24"/>
          <w:lang w:val="id-ID"/>
        </w:rPr>
      </w:pPr>
      <w:r w:rsidRPr="00FC0918">
        <w:rPr>
          <w:rFonts w:ascii="Times New Roman" w:hAnsi="Times New Roman"/>
          <w:sz w:val="24"/>
        </w:rPr>
        <w:t xml:space="preserve">The highest cytotoxic activity in rosella tea with the addition of cinnamon and lemongrass oil </w:t>
      </w:r>
      <w:r w:rsidR="009058C8">
        <w:rPr>
          <w:rFonts w:ascii="Times New Roman" w:hAnsi="Times New Roman"/>
          <w:sz w:val="24"/>
        </w:rPr>
        <w:t xml:space="preserve"> vapor</w:t>
      </w:r>
      <w:r w:rsidRPr="00FC0918">
        <w:rPr>
          <w:rFonts w:ascii="Times New Roman" w:hAnsi="Times New Roman"/>
          <w:sz w:val="24"/>
        </w:rPr>
        <w:t xml:space="preserve"> was observed in formulation F6, which included rosella powder with the </w:t>
      </w:r>
      <w:r w:rsidRPr="00FC0918">
        <w:rPr>
          <w:rFonts w:ascii="Times New Roman" w:hAnsi="Times New Roman"/>
          <w:sz w:val="24"/>
        </w:rPr>
        <w:lastRenderedPageBreak/>
        <w:t xml:space="preserve">addition of 5 g of cinnamon and 15 seconds of lemongrass oil </w:t>
      </w:r>
      <w:r w:rsidR="009058C8">
        <w:rPr>
          <w:rFonts w:ascii="Times New Roman" w:hAnsi="Times New Roman"/>
          <w:sz w:val="24"/>
        </w:rPr>
        <w:t xml:space="preserve"> vapor</w:t>
      </w:r>
      <w:r w:rsidRPr="00FC0918">
        <w:rPr>
          <w:rFonts w:ascii="Times New Roman" w:hAnsi="Times New Roman"/>
          <w:sz w:val="24"/>
        </w:rPr>
        <w:t>, showing a moderate cytotoxic effect with an IC</w:t>
      </w:r>
      <w:r w:rsidRPr="00D11696">
        <w:rPr>
          <w:rFonts w:ascii="Times New Roman" w:hAnsi="Times New Roman"/>
          <w:sz w:val="24"/>
          <w:vertAlign w:val="subscript"/>
        </w:rPr>
        <w:t>50</w:t>
      </w:r>
      <w:r w:rsidRPr="00FC0918">
        <w:rPr>
          <w:rFonts w:ascii="Times New Roman" w:hAnsi="Times New Roman"/>
          <w:sz w:val="24"/>
        </w:rPr>
        <w:t xml:space="preserve"> value of 730 </w:t>
      </w:r>
      <w:proofErr w:type="spellStart"/>
      <w:r w:rsidRPr="00FC0918">
        <w:rPr>
          <w:rFonts w:ascii="Times New Roman" w:hAnsi="Times New Roman"/>
          <w:sz w:val="24"/>
        </w:rPr>
        <w:t>μg</w:t>
      </w:r>
      <w:proofErr w:type="spellEnd"/>
      <w:r w:rsidRPr="00FC0918">
        <w:rPr>
          <w:rFonts w:ascii="Times New Roman" w:hAnsi="Times New Roman"/>
          <w:sz w:val="24"/>
        </w:rPr>
        <w:t xml:space="preserve">/mL, followed by formulation F5, namely rosella powder with the addition of 10 g of cinnamon and 10 seconds of lemongrass oil </w:t>
      </w:r>
      <w:r w:rsidR="009058C8">
        <w:rPr>
          <w:rFonts w:ascii="Times New Roman" w:hAnsi="Times New Roman"/>
          <w:sz w:val="24"/>
        </w:rPr>
        <w:t xml:space="preserve"> vapor</w:t>
      </w:r>
      <w:r w:rsidRPr="00FC0918">
        <w:rPr>
          <w:rFonts w:ascii="Times New Roman" w:hAnsi="Times New Roman"/>
          <w:sz w:val="24"/>
        </w:rPr>
        <w:t>, showing a moderate cytotoxic effect with an IC</w:t>
      </w:r>
      <w:r w:rsidRPr="00D11696">
        <w:rPr>
          <w:rFonts w:ascii="Times New Roman" w:hAnsi="Times New Roman"/>
          <w:sz w:val="24"/>
          <w:vertAlign w:val="subscript"/>
        </w:rPr>
        <w:t>50</w:t>
      </w:r>
      <w:r w:rsidRPr="00FC0918">
        <w:rPr>
          <w:rFonts w:ascii="Times New Roman" w:hAnsi="Times New Roman"/>
          <w:sz w:val="24"/>
        </w:rPr>
        <w:t xml:space="preserve"> value of 985.2 </w:t>
      </w:r>
      <w:proofErr w:type="spellStart"/>
      <w:r w:rsidRPr="00FC0918">
        <w:rPr>
          <w:rFonts w:ascii="Times New Roman" w:hAnsi="Times New Roman"/>
          <w:sz w:val="24"/>
        </w:rPr>
        <w:t>μg</w:t>
      </w:r>
      <w:proofErr w:type="spellEnd"/>
      <w:r w:rsidRPr="00FC0918">
        <w:rPr>
          <w:rFonts w:ascii="Times New Roman" w:hAnsi="Times New Roman"/>
          <w:sz w:val="24"/>
        </w:rPr>
        <w:t>/</w:t>
      </w:r>
      <w:proofErr w:type="spellStart"/>
      <w:r w:rsidRPr="00FC0918">
        <w:rPr>
          <w:rFonts w:ascii="Times New Roman" w:hAnsi="Times New Roman"/>
          <w:sz w:val="24"/>
        </w:rPr>
        <w:t>mL.</w:t>
      </w:r>
      <w:proofErr w:type="spellEnd"/>
      <w:r w:rsidRPr="00FC0918">
        <w:rPr>
          <w:rFonts w:ascii="Times New Roman" w:hAnsi="Times New Roman"/>
          <w:sz w:val="24"/>
        </w:rPr>
        <w:t xml:space="preserve"> On the other hand, the negative control (F1), which included rosella powder without addition, showed a weak cytotoxic effect with an IC</w:t>
      </w:r>
      <w:r w:rsidRPr="00D11696">
        <w:rPr>
          <w:rFonts w:ascii="Times New Roman" w:hAnsi="Times New Roman"/>
          <w:sz w:val="24"/>
          <w:vertAlign w:val="subscript"/>
        </w:rPr>
        <w:t>50</w:t>
      </w:r>
      <w:r w:rsidRPr="00FC0918">
        <w:rPr>
          <w:rFonts w:ascii="Times New Roman" w:hAnsi="Times New Roman"/>
          <w:sz w:val="24"/>
        </w:rPr>
        <w:t xml:space="preserve"> value of 2066.6 </w:t>
      </w:r>
      <w:proofErr w:type="spellStart"/>
      <w:r w:rsidRPr="00FC0918">
        <w:rPr>
          <w:rFonts w:ascii="Times New Roman" w:hAnsi="Times New Roman"/>
          <w:sz w:val="24"/>
        </w:rPr>
        <w:t>μg</w:t>
      </w:r>
      <w:proofErr w:type="spellEnd"/>
      <w:r w:rsidRPr="00FC0918">
        <w:rPr>
          <w:rFonts w:ascii="Times New Roman" w:hAnsi="Times New Roman"/>
          <w:sz w:val="24"/>
        </w:rPr>
        <w:t>/</w:t>
      </w:r>
      <w:proofErr w:type="spellStart"/>
      <w:r w:rsidRPr="00FC0918">
        <w:rPr>
          <w:rFonts w:ascii="Times New Roman" w:hAnsi="Times New Roman"/>
          <w:sz w:val="24"/>
        </w:rPr>
        <w:t>mL.</w:t>
      </w:r>
      <w:proofErr w:type="spellEnd"/>
    </w:p>
    <w:p w14:paraId="19C8EAB8" w14:textId="77777777" w:rsidR="00BD516A" w:rsidRPr="001C23BD" w:rsidRDefault="00FC0918" w:rsidP="005500A9">
      <w:pPr>
        <w:pStyle w:val="NormalWeb"/>
        <w:spacing w:before="0" w:beforeAutospacing="0" w:after="0" w:afterAutospacing="0" w:line="480" w:lineRule="auto"/>
        <w:jc w:val="both"/>
        <w:outlineLvl w:val="2"/>
        <w:rPr>
          <w:b/>
          <w:lang w:val="id-ID"/>
        </w:rPr>
      </w:pPr>
      <w:r>
        <w:rPr>
          <w:b/>
          <w:lang w:val="id-ID"/>
        </w:rPr>
        <w:t>Water Content and Ash Total Content of Roselle Tea F6</w:t>
      </w:r>
    </w:p>
    <w:p w14:paraId="4BE1465F" w14:textId="77777777" w:rsidR="00BD516A" w:rsidRPr="005752FC" w:rsidRDefault="00FC0918" w:rsidP="005500A9">
      <w:pPr>
        <w:pStyle w:val="ListParagraph"/>
        <w:spacing w:line="480" w:lineRule="auto"/>
        <w:ind w:left="0" w:firstLine="567"/>
        <w:jc w:val="both"/>
        <w:rPr>
          <w:rFonts w:ascii="Times New Roman" w:hAnsi="Times New Roman"/>
          <w:sz w:val="24"/>
          <w:szCs w:val="24"/>
        </w:rPr>
      </w:pPr>
      <w:r w:rsidRPr="00FC0918">
        <w:rPr>
          <w:rFonts w:ascii="Times New Roman" w:hAnsi="Times New Roman"/>
          <w:sz w:val="24"/>
          <w:szCs w:val="24"/>
        </w:rPr>
        <w:t xml:space="preserve">The water content and total ash content tests were carried out on rosella tea which had the highest cytotoxic activity, namely rosella tea with the addition of 5 g of cinnamon powder and evaporation of </w:t>
      </w:r>
      <w:r w:rsidR="009058C8">
        <w:rPr>
          <w:rFonts w:ascii="Times New Roman" w:hAnsi="Times New Roman"/>
          <w:sz w:val="24"/>
          <w:szCs w:val="24"/>
          <w:lang w:val="id-ID"/>
        </w:rPr>
        <w:t>lemongrass</w:t>
      </w:r>
      <w:r w:rsidRPr="00FC0918">
        <w:rPr>
          <w:rFonts w:ascii="Times New Roman" w:hAnsi="Times New Roman"/>
          <w:sz w:val="24"/>
          <w:szCs w:val="24"/>
        </w:rPr>
        <w:t xml:space="preserve"> oil for 15 seconds (F6). The results of the water content and total ash content of rosella tea formulation F6 are presented in Table </w:t>
      </w:r>
      <w:r w:rsidR="00DF083E">
        <w:rPr>
          <w:rFonts w:ascii="Times New Roman" w:hAnsi="Times New Roman"/>
          <w:sz w:val="24"/>
          <w:szCs w:val="24"/>
          <w:lang w:val="id-ID"/>
        </w:rPr>
        <w:t>3</w:t>
      </w:r>
      <w:r w:rsidRPr="00FC0918">
        <w:rPr>
          <w:rFonts w:ascii="Times New Roman" w:hAnsi="Times New Roman"/>
          <w:sz w:val="24"/>
          <w:szCs w:val="24"/>
        </w:rPr>
        <w:t>.</w:t>
      </w:r>
    </w:p>
    <w:p w14:paraId="1C55947B" w14:textId="77777777" w:rsidR="00887221" w:rsidRDefault="00887221" w:rsidP="005500A9">
      <w:pPr>
        <w:pStyle w:val="Caption"/>
        <w:keepNext/>
        <w:spacing w:line="480" w:lineRule="auto"/>
        <w:jc w:val="center"/>
        <w:rPr>
          <w:rFonts w:ascii="Times New Roman" w:hAnsi="Times New Roman"/>
          <w:b/>
          <w:i w:val="0"/>
          <w:color w:val="auto"/>
          <w:sz w:val="24"/>
          <w:szCs w:val="24"/>
        </w:rPr>
        <w:sectPr w:rsidR="00887221" w:rsidSect="005500A9">
          <w:type w:val="continuous"/>
          <w:pgSz w:w="11907" w:h="16839" w:code="9"/>
          <w:pgMar w:top="1440" w:right="1440" w:bottom="1440" w:left="1440" w:header="720" w:footer="720" w:gutter="0"/>
          <w:cols w:space="283"/>
          <w:docGrid w:linePitch="360"/>
        </w:sectPr>
      </w:pPr>
    </w:p>
    <w:p w14:paraId="1A2DFE83" w14:textId="77777777" w:rsidR="00BD516A" w:rsidRPr="00C04769" w:rsidRDefault="00BD516A" w:rsidP="005500A9">
      <w:pPr>
        <w:pStyle w:val="Caption"/>
        <w:keepNext/>
        <w:spacing w:line="480" w:lineRule="auto"/>
        <w:jc w:val="center"/>
        <w:rPr>
          <w:rFonts w:ascii="Times New Roman" w:hAnsi="Times New Roman"/>
          <w:b/>
          <w:i w:val="0"/>
          <w:color w:val="auto"/>
          <w:sz w:val="24"/>
          <w:szCs w:val="24"/>
        </w:rPr>
      </w:pPr>
      <w:r>
        <w:rPr>
          <w:rFonts w:ascii="Times New Roman" w:hAnsi="Times New Roman"/>
          <w:b/>
          <w:i w:val="0"/>
          <w:color w:val="auto"/>
          <w:sz w:val="24"/>
          <w:szCs w:val="24"/>
        </w:rPr>
        <w:t>Tabl</w:t>
      </w:r>
      <w:r w:rsidR="00FC0918">
        <w:rPr>
          <w:rFonts w:ascii="Times New Roman" w:hAnsi="Times New Roman"/>
          <w:b/>
          <w:i w:val="0"/>
          <w:color w:val="auto"/>
          <w:sz w:val="24"/>
          <w:szCs w:val="24"/>
        </w:rPr>
        <w:t>e</w:t>
      </w:r>
      <w:r w:rsidRPr="005752FC">
        <w:rPr>
          <w:rFonts w:ascii="Times New Roman" w:hAnsi="Times New Roman"/>
          <w:b/>
          <w:i w:val="0"/>
          <w:color w:val="auto"/>
          <w:sz w:val="24"/>
          <w:szCs w:val="24"/>
        </w:rPr>
        <w:t xml:space="preserve"> </w:t>
      </w:r>
      <w:r w:rsidRPr="005752FC">
        <w:rPr>
          <w:rFonts w:ascii="Times New Roman" w:hAnsi="Times New Roman"/>
          <w:b/>
          <w:i w:val="0"/>
          <w:color w:val="auto"/>
          <w:sz w:val="24"/>
          <w:szCs w:val="24"/>
        </w:rPr>
        <w:fldChar w:fldCharType="begin"/>
      </w:r>
      <w:r w:rsidRPr="005752FC">
        <w:rPr>
          <w:rFonts w:ascii="Times New Roman" w:hAnsi="Times New Roman"/>
          <w:b/>
          <w:i w:val="0"/>
          <w:color w:val="auto"/>
          <w:sz w:val="24"/>
          <w:szCs w:val="24"/>
        </w:rPr>
        <w:instrText xml:space="preserve"> SEQ Tabel \* ARABIC </w:instrText>
      </w:r>
      <w:r w:rsidRPr="005752FC">
        <w:rPr>
          <w:rFonts w:ascii="Times New Roman" w:hAnsi="Times New Roman"/>
          <w:b/>
          <w:i w:val="0"/>
          <w:color w:val="auto"/>
          <w:sz w:val="24"/>
          <w:szCs w:val="24"/>
        </w:rPr>
        <w:fldChar w:fldCharType="separate"/>
      </w:r>
      <w:r w:rsidR="003A0730">
        <w:rPr>
          <w:rFonts w:ascii="Times New Roman" w:hAnsi="Times New Roman"/>
          <w:b/>
          <w:i w:val="0"/>
          <w:noProof/>
          <w:color w:val="auto"/>
          <w:sz w:val="24"/>
          <w:szCs w:val="24"/>
        </w:rPr>
        <w:t>3</w:t>
      </w:r>
      <w:r w:rsidRPr="005752FC">
        <w:rPr>
          <w:rFonts w:ascii="Times New Roman" w:hAnsi="Times New Roman"/>
          <w:b/>
          <w:i w:val="0"/>
          <w:color w:val="auto"/>
          <w:sz w:val="24"/>
          <w:szCs w:val="24"/>
        </w:rPr>
        <w:fldChar w:fldCharType="end"/>
      </w:r>
      <w:r w:rsidRPr="005752FC">
        <w:rPr>
          <w:rFonts w:ascii="Times New Roman" w:hAnsi="Times New Roman"/>
          <w:b/>
          <w:i w:val="0"/>
          <w:color w:val="auto"/>
          <w:sz w:val="24"/>
          <w:szCs w:val="24"/>
        </w:rPr>
        <w:t>.</w:t>
      </w:r>
      <w:r w:rsidRPr="005752FC">
        <w:rPr>
          <w:rFonts w:ascii="Times New Roman" w:hAnsi="Times New Roman"/>
          <w:i w:val="0"/>
          <w:color w:val="auto"/>
          <w:sz w:val="24"/>
          <w:szCs w:val="24"/>
        </w:rPr>
        <w:t xml:space="preserve"> </w:t>
      </w:r>
      <w:r w:rsidR="00FC0918">
        <w:rPr>
          <w:rFonts w:ascii="Times New Roman" w:hAnsi="Times New Roman"/>
          <w:b/>
          <w:i w:val="0"/>
          <w:color w:val="auto"/>
          <w:sz w:val="24"/>
          <w:szCs w:val="24"/>
        </w:rPr>
        <w:t>Water content and total ash content of roselle tea F6</w:t>
      </w:r>
    </w:p>
    <w:tbl>
      <w:tblPr>
        <w:tblW w:w="5948" w:type="dxa"/>
        <w:jc w:val="center"/>
        <w:tblBorders>
          <w:top w:val="single" w:sz="4" w:space="0" w:color="auto"/>
          <w:bottom w:val="single" w:sz="4" w:space="0" w:color="auto"/>
        </w:tblBorders>
        <w:tblLook w:val="04A0" w:firstRow="1" w:lastRow="0" w:firstColumn="1" w:lastColumn="0" w:noHBand="0" w:noVBand="1"/>
      </w:tblPr>
      <w:tblGrid>
        <w:gridCol w:w="2689"/>
        <w:gridCol w:w="1694"/>
        <w:gridCol w:w="1565"/>
      </w:tblGrid>
      <w:tr w:rsidR="00BD516A" w:rsidRPr="005752FC" w14:paraId="133EDFD7" w14:textId="77777777" w:rsidTr="00AF0019">
        <w:trPr>
          <w:jc w:val="center"/>
        </w:trPr>
        <w:tc>
          <w:tcPr>
            <w:tcW w:w="2689" w:type="dxa"/>
            <w:tcBorders>
              <w:top w:val="single" w:sz="4" w:space="0" w:color="auto"/>
              <w:bottom w:val="single" w:sz="4" w:space="0" w:color="auto"/>
            </w:tcBorders>
            <w:shd w:val="clear" w:color="auto" w:fill="auto"/>
          </w:tcPr>
          <w:p w14:paraId="7189BA88" w14:textId="77777777" w:rsidR="00BD516A" w:rsidRPr="00AF0019" w:rsidRDefault="00BD516A" w:rsidP="005500A9">
            <w:pPr>
              <w:pStyle w:val="ListParagraph"/>
              <w:spacing w:after="0" w:line="480" w:lineRule="auto"/>
              <w:ind w:left="0"/>
              <w:jc w:val="center"/>
              <w:rPr>
                <w:rFonts w:ascii="Times New Roman" w:eastAsia="Times New Roman" w:hAnsi="Times New Roman"/>
                <w:b/>
                <w:sz w:val="24"/>
                <w:szCs w:val="24"/>
              </w:rPr>
            </w:pPr>
          </w:p>
        </w:tc>
        <w:tc>
          <w:tcPr>
            <w:tcW w:w="1694" w:type="dxa"/>
            <w:tcBorders>
              <w:top w:val="single" w:sz="4" w:space="0" w:color="auto"/>
              <w:bottom w:val="single" w:sz="4" w:space="0" w:color="auto"/>
            </w:tcBorders>
            <w:shd w:val="clear" w:color="auto" w:fill="auto"/>
          </w:tcPr>
          <w:p w14:paraId="4BC5F688" w14:textId="77777777" w:rsidR="00BD516A" w:rsidRPr="00AF0019" w:rsidRDefault="00BD516A" w:rsidP="005500A9">
            <w:pPr>
              <w:pStyle w:val="ListParagraph"/>
              <w:spacing w:after="0" w:line="480" w:lineRule="auto"/>
              <w:ind w:left="0"/>
              <w:jc w:val="center"/>
              <w:rPr>
                <w:rFonts w:ascii="Times New Roman" w:eastAsia="Times New Roman" w:hAnsi="Times New Roman"/>
                <w:b/>
                <w:sz w:val="24"/>
                <w:szCs w:val="24"/>
              </w:rPr>
            </w:pPr>
            <w:r w:rsidRPr="00AF0019">
              <w:rPr>
                <w:rFonts w:ascii="Times New Roman" w:eastAsia="Times New Roman" w:hAnsi="Times New Roman"/>
                <w:b/>
                <w:sz w:val="24"/>
                <w:szCs w:val="24"/>
              </w:rPr>
              <w:t>Result (%)</w:t>
            </w:r>
          </w:p>
        </w:tc>
        <w:tc>
          <w:tcPr>
            <w:tcW w:w="1565" w:type="dxa"/>
            <w:tcBorders>
              <w:top w:val="single" w:sz="4" w:space="0" w:color="auto"/>
              <w:bottom w:val="single" w:sz="4" w:space="0" w:color="auto"/>
            </w:tcBorders>
            <w:shd w:val="clear" w:color="auto" w:fill="auto"/>
          </w:tcPr>
          <w:p w14:paraId="048F9474" w14:textId="77777777" w:rsidR="00BD516A" w:rsidRPr="00AF0019" w:rsidRDefault="00BD516A" w:rsidP="005500A9">
            <w:pPr>
              <w:pStyle w:val="ListParagraph"/>
              <w:spacing w:after="0" w:line="480" w:lineRule="auto"/>
              <w:ind w:left="0"/>
              <w:jc w:val="center"/>
              <w:rPr>
                <w:rFonts w:ascii="Times New Roman" w:eastAsia="Times New Roman" w:hAnsi="Times New Roman"/>
                <w:b/>
                <w:sz w:val="24"/>
                <w:szCs w:val="24"/>
              </w:rPr>
            </w:pPr>
            <w:r w:rsidRPr="00AF0019">
              <w:rPr>
                <w:rFonts w:ascii="Times New Roman" w:eastAsia="Times New Roman" w:hAnsi="Times New Roman"/>
                <w:b/>
                <w:sz w:val="24"/>
                <w:szCs w:val="24"/>
              </w:rPr>
              <w:t>SNI (%)</w:t>
            </w:r>
          </w:p>
        </w:tc>
      </w:tr>
      <w:tr w:rsidR="00BD516A" w:rsidRPr="005752FC" w14:paraId="19185E52" w14:textId="77777777" w:rsidTr="00AF0019">
        <w:trPr>
          <w:jc w:val="center"/>
        </w:trPr>
        <w:tc>
          <w:tcPr>
            <w:tcW w:w="2689" w:type="dxa"/>
            <w:tcBorders>
              <w:top w:val="single" w:sz="4" w:space="0" w:color="auto"/>
            </w:tcBorders>
            <w:shd w:val="clear" w:color="auto" w:fill="auto"/>
          </w:tcPr>
          <w:p w14:paraId="6E1DE955" w14:textId="77777777" w:rsidR="00BD516A" w:rsidRPr="00FC0918" w:rsidRDefault="00FC0918" w:rsidP="005500A9">
            <w:pPr>
              <w:pStyle w:val="ListParagraph"/>
              <w:spacing w:after="0" w:line="480" w:lineRule="auto"/>
              <w:ind w:left="0"/>
              <w:rPr>
                <w:rFonts w:ascii="Times New Roman" w:eastAsia="Times New Roman" w:hAnsi="Times New Roman"/>
                <w:sz w:val="24"/>
                <w:szCs w:val="24"/>
                <w:lang w:val="id-ID"/>
              </w:rPr>
            </w:pPr>
            <w:r>
              <w:rPr>
                <w:rFonts w:ascii="Times New Roman" w:eastAsia="Times New Roman" w:hAnsi="Times New Roman"/>
                <w:sz w:val="24"/>
                <w:szCs w:val="24"/>
                <w:lang w:val="id-ID"/>
              </w:rPr>
              <w:t>Water Content</w:t>
            </w:r>
          </w:p>
        </w:tc>
        <w:tc>
          <w:tcPr>
            <w:tcW w:w="1694" w:type="dxa"/>
            <w:tcBorders>
              <w:top w:val="single" w:sz="4" w:space="0" w:color="auto"/>
            </w:tcBorders>
            <w:shd w:val="clear" w:color="auto" w:fill="auto"/>
          </w:tcPr>
          <w:p w14:paraId="0C8D64DB" w14:textId="77777777" w:rsidR="00BD516A" w:rsidRPr="00AF0019" w:rsidRDefault="00BD516A"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13,628</w:t>
            </w:r>
          </w:p>
        </w:tc>
        <w:tc>
          <w:tcPr>
            <w:tcW w:w="1565" w:type="dxa"/>
            <w:tcBorders>
              <w:top w:val="single" w:sz="4" w:space="0" w:color="auto"/>
            </w:tcBorders>
            <w:shd w:val="clear" w:color="auto" w:fill="auto"/>
          </w:tcPr>
          <w:p w14:paraId="2762EC84" w14:textId="77777777" w:rsidR="00BD516A" w:rsidRPr="00AF0019" w:rsidRDefault="00BD516A"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7,00-8,00</w:t>
            </w:r>
          </w:p>
        </w:tc>
      </w:tr>
      <w:tr w:rsidR="00BD516A" w:rsidRPr="005752FC" w14:paraId="403B7216" w14:textId="77777777" w:rsidTr="00AF0019">
        <w:trPr>
          <w:jc w:val="center"/>
        </w:trPr>
        <w:tc>
          <w:tcPr>
            <w:tcW w:w="2689" w:type="dxa"/>
            <w:shd w:val="clear" w:color="auto" w:fill="auto"/>
          </w:tcPr>
          <w:p w14:paraId="56E72583" w14:textId="77777777" w:rsidR="00BD516A" w:rsidRPr="00FC0918" w:rsidRDefault="00FC0918" w:rsidP="005500A9">
            <w:pPr>
              <w:pStyle w:val="ListParagraph"/>
              <w:spacing w:after="0" w:line="480" w:lineRule="auto"/>
              <w:ind w:left="0"/>
              <w:rPr>
                <w:rFonts w:ascii="Times New Roman" w:eastAsia="Times New Roman" w:hAnsi="Times New Roman"/>
                <w:sz w:val="24"/>
                <w:szCs w:val="24"/>
                <w:lang w:val="id-ID"/>
              </w:rPr>
            </w:pPr>
            <w:r>
              <w:rPr>
                <w:rFonts w:ascii="Times New Roman" w:eastAsia="Times New Roman" w:hAnsi="Times New Roman"/>
                <w:sz w:val="24"/>
                <w:szCs w:val="24"/>
                <w:lang w:val="id-ID"/>
              </w:rPr>
              <w:t>Total Ash Content</w:t>
            </w:r>
          </w:p>
        </w:tc>
        <w:tc>
          <w:tcPr>
            <w:tcW w:w="1694" w:type="dxa"/>
            <w:shd w:val="clear" w:color="auto" w:fill="auto"/>
          </w:tcPr>
          <w:p w14:paraId="7C96F57E" w14:textId="77777777" w:rsidR="00BD516A" w:rsidRPr="00AF0019" w:rsidRDefault="00BD516A"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8,66</w:t>
            </w:r>
          </w:p>
        </w:tc>
        <w:tc>
          <w:tcPr>
            <w:tcW w:w="1565" w:type="dxa"/>
            <w:shd w:val="clear" w:color="auto" w:fill="auto"/>
          </w:tcPr>
          <w:p w14:paraId="4654D9FC" w14:textId="77777777" w:rsidR="00BD516A" w:rsidRPr="00AF0019" w:rsidRDefault="00BD516A"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8,00</w:t>
            </w:r>
          </w:p>
        </w:tc>
      </w:tr>
    </w:tbl>
    <w:p w14:paraId="43949227" w14:textId="77777777" w:rsidR="00BD516A" w:rsidRDefault="00FC0918" w:rsidP="005500A9">
      <w:pPr>
        <w:spacing w:before="240" w:after="0" w:line="480" w:lineRule="auto"/>
        <w:ind w:firstLine="720"/>
        <w:jc w:val="both"/>
        <w:rPr>
          <w:rFonts w:ascii="Times New Roman" w:hAnsi="Times New Roman"/>
          <w:b/>
          <w:sz w:val="24"/>
          <w:szCs w:val="24"/>
        </w:rPr>
      </w:pPr>
      <w:r w:rsidRPr="00FC0918">
        <w:rPr>
          <w:rFonts w:ascii="Times New Roman" w:hAnsi="Times New Roman"/>
          <w:sz w:val="24"/>
          <w:szCs w:val="24"/>
        </w:rPr>
        <w:t xml:space="preserve">Based on the results of the analysis of the water content of rosella tea with a combination of cinnamon and </w:t>
      </w:r>
      <w:r w:rsidR="009058C8">
        <w:rPr>
          <w:rFonts w:ascii="Times New Roman" w:hAnsi="Times New Roman"/>
          <w:sz w:val="24"/>
          <w:szCs w:val="24"/>
          <w:lang w:val="id-ID"/>
        </w:rPr>
        <w:t>lemongrass oil vapor</w:t>
      </w:r>
      <w:r w:rsidRPr="00FC0918">
        <w:rPr>
          <w:rFonts w:ascii="Times New Roman" w:hAnsi="Times New Roman"/>
          <w:sz w:val="24"/>
          <w:szCs w:val="24"/>
        </w:rPr>
        <w:t>, it is known that the tea has a water content of 13.628%</w:t>
      </w:r>
      <w:r w:rsidR="00B324A3">
        <w:rPr>
          <w:rFonts w:ascii="Times New Roman" w:hAnsi="Times New Roman"/>
          <w:sz w:val="24"/>
          <w:szCs w:val="24"/>
          <w:lang w:val="id-ID"/>
        </w:rPr>
        <w:t xml:space="preserve"> and total ash content of 8,66%</w:t>
      </w:r>
      <w:r w:rsidRPr="00FC0918">
        <w:rPr>
          <w:rFonts w:ascii="Times New Roman" w:hAnsi="Times New Roman"/>
          <w:sz w:val="24"/>
          <w:szCs w:val="24"/>
        </w:rPr>
        <w:t>. This amount is much higher than the maximum water content determined by SNI</w:t>
      </w:r>
      <w:r w:rsidR="00B324A3">
        <w:rPr>
          <w:rFonts w:ascii="Times New Roman" w:hAnsi="Times New Roman"/>
          <w:sz w:val="24"/>
          <w:szCs w:val="24"/>
        </w:rPr>
        <w:t xml:space="preserve"> 3836:2013 for dry packaged tea.</w:t>
      </w:r>
    </w:p>
    <w:p w14:paraId="35B7CC0B" w14:textId="77777777" w:rsidR="005034A7" w:rsidRPr="00D91709" w:rsidRDefault="005034A7" w:rsidP="005500A9">
      <w:pPr>
        <w:pStyle w:val="Heading2"/>
        <w:spacing w:after="0" w:line="480" w:lineRule="auto"/>
        <w:jc w:val="both"/>
        <w:rPr>
          <w:b w:val="0"/>
          <w:color w:val="0F0F0F"/>
          <w:shd w:val="clear" w:color="auto" w:fill="FFFFFF"/>
          <w:lang w:val="id-ID"/>
        </w:rPr>
      </w:pPr>
      <w:r>
        <w:rPr>
          <w:color w:val="0F0F0F"/>
          <w:shd w:val="clear" w:color="auto" w:fill="FFFFFF"/>
          <w:lang w:val="id-ID"/>
        </w:rPr>
        <w:t xml:space="preserve">GC-MS </w:t>
      </w:r>
      <w:r w:rsidR="00FC0918">
        <w:rPr>
          <w:color w:val="0F0F0F"/>
          <w:shd w:val="clear" w:color="auto" w:fill="FFFFFF"/>
          <w:lang w:val="id-ID"/>
        </w:rPr>
        <w:t>Analysis of Roselle Tea F6</w:t>
      </w:r>
    </w:p>
    <w:p w14:paraId="671B8EB8" w14:textId="77777777" w:rsidR="005034A7" w:rsidRPr="005034A7" w:rsidRDefault="00FC0918" w:rsidP="005500A9">
      <w:pPr>
        <w:spacing w:line="480" w:lineRule="auto"/>
        <w:ind w:firstLine="720"/>
        <w:jc w:val="both"/>
        <w:rPr>
          <w:rFonts w:ascii="Times New Roman" w:hAnsi="Times New Roman"/>
          <w:sz w:val="24"/>
        </w:rPr>
      </w:pPr>
      <w:r w:rsidRPr="00FC0918">
        <w:rPr>
          <w:rFonts w:ascii="Times New Roman" w:hAnsi="Times New Roman"/>
          <w:sz w:val="24"/>
        </w:rPr>
        <w:t xml:space="preserve">GC-MS analysis was performed on rosella tea formulations optimized for the evaluation of </w:t>
      </w:r>
      <w:proofErr w:type="spellStart"/>
      <w:r w:rsidRPr="00FC0918">
        <w:rPr>
          <w:rFonts w:ascii="Times New Roman" w:hAnsi="Times New Roman"/>
          <w:sz w:val="24"/>
        </w:rPr>
        <w:t>citral</w:t>
      </w:r>
      <w:proofErr w:type="spellEnd"/>
      <w:r w:rsidRPr="00FC0918">
        <w:rPr>
          <w:rFonts w:ascii="Times New Roman" w:hAnsi="Times New Roman"/>
          <w:sz w:val="24"/>
        </w:rPr>
        <w:t xml:space="preserve"> and cinnamaldehyde presence in each infusion, with the inclusion of </w:t>
      </w:r>
      <w:r w:rsidR="009058C8">
        <w:rPr>
          <w:rFonts w:ascii="Times New Roman" w:hAnsi="Times New Roman"/>
          <w:sz w:val="24"/>
          <w:lang w:val="id-ID"/>
        </w:rPr>
        <w:t>lemongrass</w:t>
      </w:r>
      <w:r w:rsidRPr="00FC0918">
        <w:rPr>
          <w:rFonts w:ascii="Times New Roman" w:hAnsi="Times New Roman"/>
          <w:sz w:val="24"/>
        </w:rPr>
        <w:t xml:space="preserve"> oil vapor and cinnamon powder. The chromatographic analysis (Figure 3) revealed substantial absorption of </w:t>
      </w:r>
      <w:r w:rsidR="009058C8">
        <w:rPr>
          <w:rFonts w:ascii="Times New Roman" w:hAnsi="Times New Roman"/>
          <w:sz w:val="24"/>
          <w:lang w:val="id-ID"/>
        </w:rPr>
        <w:t>lemongrass</w:t>
      </w:r>
      <w:r w:rsidRPr="00FC0918">
        <w:rPr>
          <w:rFonts w:ascii="Times New Roman" w:hAnsi="Times New Roman"/>
          <w:sz w:val="24"/>
        </w:rPr>
        <w:t xml:space="preserve">, evidenced by a prominent peak of </w:t>
      </w:r>
      <w:proofErr w:type="spellStart"/>
      <w:r w:rsidRPr="00FC0918">
        <w:rPr>
          <w:rFonts w:ascii="Times New Roman" w:hAnsi="Times New Roman"/>
          <w:sz w:val="24"/>
        </w:rPr>
        <w:t>citral</w:t>
      </w:r>
      <w:proofErr w:type="spellEnd"/>
      <w:r w:rsidRPr="00FC0918">
        <w:rPr>
          <w:rFonts w:ascii="Times New Roman" w:hAnsi="Times New Roman"/>
          <w:sz w:val="24"/>
        </w:rPr>
        <w:t xml:space="preserve">. Conversely, </w:t>
      </w:r>
      <w:r w:rsidRPr="00FC0918">
        <w:rPr>
          <w:rFonts w:ascii="Times New Roman" w:hAnsi="Times New Roman"/>
          <w:sz w:val="24"/>
        </w:rPr>
        <w:lastRenderedPageBreak/>
        <w:t xml:space="preserve">cinnamaldehyde exhibited a comparatively minor peak. Specifically, the presence of </w:t>
      </w:r>
      <w:r w:rsidRPr="00D73132">
        <w:rPr>
          <w:rFonts w:ascii="Times New Roman" w:hAnsi="Times New Roman"/>
          <w:i/>
          <w:sz w:val="24"/>
        </w:rPr>
        <w:t>(Z)-</w:t>
      </w:r>
      <w:proofErr w:type="spellStart"/>
      <w:r w:rsidRPr="00D73132">
        <w:rPr>
          <w:rFonts w:ascii="Times New Roman" w:hAnsi="Times New Roman"/>
          <w:sz w:val="24"/>
        </w:rPr>
        <w:t>citral</w:t>
      </w:r>
      <w:proofErr w:type="spellEnd"/>
      <w:r w:rsidRPr="00FC0918">
        <w:rPr>
          <w:rFonts w:ascii="Times New Roman" w:hAnsi="Times New Roman"/>
          <w:sz w:val="24"/>
        </w:rPr>
        <w:t xml:space="preserve"> and </w:t>
      </w:r>
      <w:r w:rsidRPr="00D73132">
        <w:rPr>
          <w:rFonts w:ascii="Times New Roman" w:hAnsi="Times New Roman"/>
          <w:i/>
          <w:sz w:val="24"/>
        </w:rPr>
        <w:t>(E)-</w:t>
      </w:r>
      <w:proofErr w:type="spellStart"/>
      <w:r w:rsidRPr="00D73132">
        <w:rPr>
          <w:rFonts w:ascii="Times New Roman" w:hAnsi="Times New Roman"/>
          <w:sz w:val="24"/>
        </w:rPr>
        <w:t>citral</w:t>
      </w:r>
      <w:proofErr w:type="spellEnd"/>
      <w:r w:rsidRPr="00FC0918">
        <w:rPr>
          <w:rFonts w:ascii="Times New Roman" w:hAnsi="Times New Roman"/>
          <w:sz w:val="24"/>
        </w:rPr>
        <w:t xml:space="preserve"> was quantified at 31.56% and 58.90%, respectively, whereas cinnamaldehyde constituted approximately 4% of the compound composition.</w:t>
      </w:r>
    </w:p>
    <w:p w14:paraId="273F290C" w14:textId="77777777" w:rsidR="00887221" w:rsidRDefault="00887221" w:rsidP="005500A9">
      <w:pPr>
        <w:keepNext/>
        <w:spacing w:line="480" w:lineRule="auto"/>
        <w:jc w:val="center"/>
        <w:rPr>
          <w:noProof/>
          <w:lang w:val="id-ID" w:eastAsia="id-ID"/>
        </w:rPr>
        <w:sectPr w:rsidR="00887221" w:rsidSect="005500A9">
          <w:type w:val="continuous"/>
          <w:pgSz w:w="11907" w:h="16839" w:code="9"/>
          <w:pgMar w:top="1440" w:right="1440" w:bottom="1440" w:left="1440" w:header="720" w:footer="720" w:gutter="0"/>
          <w:cols w:space="283"/>
          <w:docGrid w:linePitch="360"/>
        </w:sectPr>
      </w:pPr>
    </w:p>
    <w:p w14:paraId="3D168308" w14:textId="77777777" w:rsidR="00DF083E" w:rsidRDefault="00DF083E" w:rsidP="005500A9">
      <w:pPr>
        <w:keepNext/>
        <w:spacing w:after="0" w:line="480" w:lineRule="auto"/>
        <w:jc w:val="center"/>
        <w:rPr>
          <w:noProof/>
          <w:lang w:val="id-ID" w:eastAsia="id-ID"/>
        </w:rPr>
        <w:sectPr w:rsidR="00DF083E" w:rsidSect="005500A9">
          <w:type w:val="continuous"/>
          <w:pgSz w:w="11907" w:h="16839" w:code="9"/>
          <w:pgMar w:top="1440" w:right="1440" w:bottom="1440" w:left="1440" w:header="720" w:footer="720" w:gutter="0"/>
          <w:cols w:space="283"/>
          <w:docGrid w:linePitch="360"/>
        </w:sectPr>
      </w:pPr>
    </w:p>
    <w:p w14:paraId="23ADA34C" w14:textId="77777777" w:rsidR="005034A7" w:rsidRDefault="00EB5AAE" w:rsidP="005500A9">
      <w:pPr>
        <w:keepNext/>
        <w:spacing w:after="0" w:line="480" w:lineRule="auto"/>
        <w:jc w:val="center"/>
      </w:pPr>
      <w:r>
        <w:rPr>
          <w:rFonts w:ascii="Times New Roman" w:hAnsi="Times New Roman"/>
          <w:noProof/>
          <w:sz w:val="24"/>
          <w:lang w:val="id-ID" w:eastAsia="id-ID"/>
        </w:rPr>
        <mc:AlternateContent>
          <mc:Choice Requires="wps">
            <w:drawing>
              <wp:anchor distT="0" distB="0" distL="114300" distR="114300" simplePos="0" relativeHeight="251658752" behindDoc="0" locked="0" layoutInCell="1" allowOverlap="1" wp14:anchorId="0067B095" wp14:editId="24EE0252">
                <wp:simplePos x="0" y="0"/>
                <wp:positionH relativeFrom="column">
                  <wp:posOffset>3799840</wp:posOffset>
                </wp:positionH>
                <wp:positionV relativeFrom="paragraph">
                  <wp:posOffset>1784350</wp:posOffset>
                </wp:positionV>
                <wp:extent cx="899795" cy="215900"/>
                <wp:effectExtent l="0" t="0" r="14605" b="12700"/>
                <wp:wrapNone/>
                <wp:docPr id="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15900"/>
                        </a:xfrm>
                        <a:prstGeom prst="rect">
                          <a:avLst/>
                        </a:prstGeom>
                        <a:solidFill>
                          <a:sysClr val="window" lastClr="FFFFFF"/>
                        </a:solidFill>
                        <a:ln w="6350">
                          <a:solidFill>
                            <a:prstClr val="black"/>
                          </a:solidFill>
                        </a:ln>
                        <a:effectLst/>
                      </wps:spPr>
                      <wps:txbx>
                        <w:txbxContent>
                          <w:p w14:paraId="6A7A158F" w14:textId="77777777" w:rsidR="000250A3" w:rsidRPr="000250A3" w:rsidRDefault="000250A3" w:rsidP="000250A3">
                            <w:pPr>
                              <w:rPr>
                                <w:i/>
                                <w:sz w:val="16"/>
                                <w:szCs w:val="18"/>
                                <w:lang w:val="id-ID"/>
                              </w:rPr>
                            </w:pPr>
                            <w:r>
                              <w:rPr>
                                <w:i/>
                                <w:sz w:val="16"/>
                                <w:szCs w:val="18"/>
                                <w:lang w:val="id-ID"/>
                              </w:rPr>
                              <w:t>Cinnamaldehyde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7" o:spid="_x0000_s1026" type="#_x0000_t202" style="position:absolute;left:0;text-align:left;margin-left:299.2pt;margin-top:140.5pt;width:70.85pt;height:1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" fillcolor="window" strokeweight=".5pt">
                <v:path arrowok="t"/>
                <v:textbox>
                  <w:txbxContent>
                    <w:p w:rsidR="000250A3" w:rsidRPr="000250A3" w:rsidRDefault="000250A3" w:rsidP="000250A3">
                      <w:pPr>
                        <w:rPr>
                          <w:i/>
                          <w:sz w:val="16"/>
                          <w:szCs w:val="18"/>
                          <w:lang w:val="id-ID"/>
                        </w:rPr>
                      </w:pPr>
                      <w:r>
                        <w:rPr>
                          <w:i/>
                          <w:sz w:val="16"/>
                          <w:szCs w:val="18"/>
                          <w:lang w:val="id-ID"/>
                        </w:rPr>
                        <w:t>Cinnamaldehyde</w:t>
                      </w:r>
                    </w:p>
                  </w:txbxContent>
                </v:textbox>
              </v:shape>
            </w:pict>
          </mc:Fallback>
        </mc:AlternateContent>
      </w:r>
      <w:r>
        <w:rPr>
          <w:noProof/>
          <w:lang w:val="id-ID" w:eastAsia="id-ID"/>
        </w:rPr>
        <mc:AlternateContent>
          <mc:Choice Requires="wps">
            <w:drawing>
              <wp:anchor distT="0" distB="0" distL="114300" distR="114300" simplePos="0" relativeHeight="251657728" behindDoc="0" locked="0" layoutInCell="1" allowOverlap="1" wp14:anchorId="59DBD47D" wp14:editId="61739953">
                <wp:simplePos x="0" y="0"/>
                <wp:positionH relativeFrom="column">
                  <wp:posOffset>2836545</wp:posOffset>
                </wp:positionH>
                <wp:positionV relativeFrom="paragraph">
                  <wp:posOffset>1471930</wp:posOffset>
                </wp:positionV>
                <wp:extent cx="598170" cy="215900"/>
                <wp:effectExtent l="0" t="0" r="11430" b="1270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 cy="215900"/>
                        </a:xfrm>
                        <a:prstGeom prst="rect">
                          <a:avLst/>
                        </a:prstGeom>
                        <a:solidFill>
                          <a:sysClr val="window" lastClr="FFFFFF"/>
                        </a:solidFill>
                        <a:ln w="6350">
                          <a:solidFill>
                            <a:prstClr val="black"/>
                          </a:solidFill>
                        </a:ln>
                        <a:effectLst/>
                      </wps:spPr>
                      <wps:txbx>
                        <w:txbxContent>
                          <w:p w14:paraId="78302941" w14:textId="77777777" w:rsidR="005034A7" w:rsidRPr="00BA68A7" w:rsidRDefault="005034A7" w:rsidP="005034A7">
                            <w:pPr>
                              <w:rPr>
                                <w:i/>
                                <w:sz w:val="16"/>
                                <w:szCs w:val="18"/>
                              </w:rPr>
                            </w:pPr>
                            <w:r w:rsidRPr="00BA68A7">
                              <w:rPr>
                                <w:i/>
                                <w:sz w:val="16"/>
                                <w:szCs w:val="18"/>
                              </w:rPr>
                              <w:t>(E)-Citral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23.35pt;margin-top:115.9pt;width:47.1pt;height: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" fillcolor="window" strokeweight=".5pt">
                <v:path arrowok="t"/>
                <v:textbox>
                  <w:txbxContent>
                    <w:p w:rsidR="005034A7" w:rsidRPr="00BA68A7" w:rsidRDefault="005034A7" w:rsidP="005034A7">
                      <w:pPr>
                        <w:rPr>
                          <w:i/>
                          <w:sz w:val="16"/>
                          <w:szCs w:val="18"/>
                        </w:rPr>
                      </w:pPr>
                      <w:r w:rsidRPr="00BA68A7">
                        <w:rPr>
                          <w:i/>
                          <w:sz w:val="16"/>
                          <w:szCs w:val="18"/>
                        </w:rPr>
                        <w:t>(E)-Citral</w:t>
                      </w:r>
                    </w:p>
                  </w:txbxContent>
                </v:textbox>
              </v:shape>
            </w:pict>
          </mc:Fallback>
        </mc:AlternateContent>
      </w:r>
      <w:r>
        <w:rPr>
          <w:noProof/>
          <w:lang w:val="id-ID" w:eastAsia="id-ID"/>
        </w:rPr>
        <mc:AlternateContent>
          <mc:Choice Requires="wps">
            <w:drawing>
              <wp:anchor distT="0" distB="0" distL="114300" distR="114300" simplePos="0" relativeHeight="251656704" behindDoc="0" locked="0" layoutInCell="1" allowOverlap="1" wp14:anchorId="2ACDDDCB" wp14:editId="36C28A04">
                <wp:simplePos x="0" y="0"/>
                <wp:positionH relativeFrom="column">
                  <wp:posOffset>1922780</wp:posOffset>
                </wp:positionH>
                <wp:positionV relativeFrom="paragraph">
                  <wp:posOffset>1619885</wp:posOffset>
                </wp:positionV>
                <wp:extent cx="598170" cy="215900"/>
                <wp:effectExtent l="0" t="0" r="11430" b="1270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 cy="215900"/>
                        </a:xfrm>
                        <a:prstGeom prst="rect">
                          <a:avLst/>
                        </a:prstGeom>
                        <a:solidFill>
                          <a:sysClr val="window" lastClr="FFFFFF"/>
                        </a:solidFill>
                        <a:ln w="6350">
                          <a:solidFill>
                            <a:prstClr val="black"/>
                          </a:solidFill>
                        </a:ln>
                        <a:effectLst/>
                      </wps:spPr>
                      <wps:txbx>
                        <w:txbxContent>
                          <w:p w14:paraId="518CEBF8" w14:textId="77777777" w:rsidR="005034A7" w:rsidRPr="00BA68A7" w:rsidRDefault="005034A7" w:rsidP="005034A7">
                            <w:pPr>
                              <w:rPr>
                                <w:i/>
                                <w:sz w:val="16"/>
                                <w:szCs w:val="18"/>
                              </w:rPr>
                            </w:pPr>
                            <w:r w:rsidRPr="00BA68A7">
                              <w:rPr>
                                <w:i/>
                                <w:sz w:val="16"/>
                                <w:szCs w:val="18"/>
                              </w:rPr>
                              <w:t>(Z)-Citral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 o:spid="_x0000_s1028" type="#_x0000_t202" style="position:absolute;left:0;text-align:left;margin-left:151.4pt;margin-top:127.55pt;width:47.1pt;height: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" fillcolor="window" strokeweight=".5pt">
                <v:path arrowok="t"/>
                <v:textbox>
                  <w:txbxContent>
                    <w:p w:rsidR="005034A7" w:rsidRPr="00BA68A7" w:rsidRDefault="005034A7" w:rsidP="005034A7">
                      <w:pPr>
                        <w:rPr>
                          <w:i/>
                          <w:sz w:val="16"/>
                          <w:szCs w:val="18"/>
                        </w:rPr>
                      </w:pPr>
                      <w:r w:rsidRPr="00BA68A7">
                        <w:rPr>
                          <w:i/>
                          <w:sz w:val="16"/>
                          <w:szCs w:val="18"/>
                        </w:rPr>
                        <w:t>(Z)-Citral</w:t>
                      </w:r>
                    </w:p>
                  </w:txbxContent>
                </v:textbox>
              </v:shape>
            </w:pict>
          </mc:Fallback>
        </mc:AlternateContent>
      </w:r>
      <w:r w:rsidRPr="005034A7">
        <w:rPr>
          <w:noProof/>
          <w:lang w:val="id-ID" w:eastAsia="id-ID"/>
        </w:rPr>
        <w:drawing>
          <wp:inline distT="0" distB="0" distL="0" distR="0" wp14:anchorId="60358A0D" wp14:editId="56D64A44">
            <wp:extent cx="4225925" cy="2347595"/>
            <wp:effectExtent l="0" t="0" r="3175" b="0"/>
            <wp:docPr id="10"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25925" cy="2347595"/>
                    </a:xfrm>
                    <a:prstGeom prst="rect">
                      <a:avLst/>
                    </a:prstGeom>
                    <a:noFill/>
                    <a:ln>
                      <a:noFill/>
                    </a:ln>
                  </pic:spPr>
                </pic:pic>
              </a:graphicData>
            </a:graphic>
          </wp:inline>
        </w:drawing>
      </w:r>
    </w:p>
    <w:p w14:paraId="575E68D5" w14:textId="77777777" w:rsidR="00887221" w:rsidRDefault="00FC0918" w:rsidP="005500A9">
      <w:pPr>
        <w:pStyle w:val="Caption"/>
        <w:spacing w:line="480" w:lineRule="auto"/>
        <w:jc w:val="center"/>
        <w:rPr>
          <w:rFonts w:ascii="Times New Roman" w:hAnsi="Times New Roman"/>
          <w:i w:val="0"/>
          <w:color w:val="auto"/>
          <w:sz w:val="24"/>
          <w:szCs w:val="24"/>
        </w:rPr>
      </w:pPr>
      <w:r>
        <w:rPr>
          <w:rFonts w:ascii="Times New Roman" w:hAnsi="Times New Roman"/>
          <w:b/>
          <w:i w:val="0"/>
          <w:color w:val="auto"/>
          <w:sz w:val="24"/>
          <w:szCs w:val="24"/>
        </w:rPr>
        <w:t>Figure</w:t>
      </w:r>
      <w:r w:rsidR="005034A7" w:rsidRPr="00462A99">
        <w:rPr>
          <w:rFonts w:ascii="Times New Roman" w:hAnsi="Times New Roman"/>
          <w:b/>
          <w:i w:val="0"/>
          <w:color w:val="auto"/>
          <w:sz w:val="24"/>
          <w:szCs w:val="24"/>
        </w:rPr>
        <w:t xml:space="preserve"> </w:t>
      </w:r>
      <w:r w:rsidR="005034A7" w:rsidRPr="00462A99">
        <w:rPr>
          <w:rFonts w:ascii="Times New Roman" w:hAnsi="Times New Roman"/>
          <w:b/>
          <w:i w:val="0"/>
          <w:color w:val="auto"/>
          <w:sz w:val="24"/>
          <w:szCs w:val="24"/>
        </w:rPr>
        <w:fldChar w:fldCharType="begin"/>
      </w:r>
      <w:r w:rsidR="005034A7" w:rsidRPr="00462A99">
        <w:rPr>
          <w:rFonts w:ascii="Times New Roman" w:hAnsi="Times New Roman"/>
          <w:b/>
          <w:i w:val="0"/>
          <w:color w:val="auto"/>
          <w:sz w:val="24"/>
          <w:szCs w:val="24"/>
        </w:rPr>
        <w:instrText xml:space="preserve"> SEQ Figure \* ARABIC </w:instrText>
      </w:r>
      <w:r w:rsidR="005034A7" w:rsidRPr="00462A99">
        <w:rPr>
          <w:rFonts w:ascii="Times New Roman" w:hAnsi="Times New Roman"/>
          <w:b/>
          <w:i w:val="0"/>
          <w:color w:val="auto"/>
          <w:sz w:val="24"/>
          <w:szCs w:val="24"/>
        </w:rPr>
        <w:fldChar w:fldCharType="separate"/>
      </w:r>
      <w:r w:rsidR="003A0730">
        <w:rPr>
          <w:rFonts w:ascii="Times New Roman" w:hAnsi="Times New Roman"/>
          <w:b/>
          <w:i w:val="0"/>
          <w:noProof/>
          <w:color w:val="auto"/>
          <w:sz w:val="24"/>
          <w:szCs w:val="24"/>
        </w:rPr>
        <w:t>2</w:t>
      </w:r>
      <w:r w:rsidR="005034A7" w:rsidRPr="00462A99">
        <w:rPr>
          <w:rFonts w:ascii="Times New Roman" w:hAnsi="Times New Roman"/>
          <w:b/>
          <w:i w:val="0"/>
          <w:color w:val="auto"/>
          <w:sz w:val="24"/>
          <w:szCs w:val="24"/>
        </w:rPr>
        <w:fldChar w:fldCharType="end"/>
      </w:r>
      <w:r w:rsidR="005034A7" w:rsidRPr="00462A99">
        <w:rPr>
          <w:rFonts w:ascii="Times New Roman" w:hAnsi="Times New Roman"/>
          <w:b/>
          <w:i w:val="0"/>
          <w:color w:val="auto"/>
          <w:sz w:val="24"/>
          <w:szCs w:val="24"/>
        </w:rPr>
        <w:t>.</w:t>
      </w:r>
      <w:r w:rsidR="005034A7" w:rsidRPr="00462A99">
        <w:rPr>
          <w:rFonts w:ascii="Times New Roman" w:hAnsi="Times New Roman"/>
          <w:i w:val="0"/>
          <w:color w:val="auto"/>
          <w:sz w:val="24"/>
          <w:szCs w:val="24"/>
        </w:rPr>
        <w:t xml:space="preserve"> </w:t>
      </w:r>
      <w:r w:rsidR="005E2577">
        <w:rPr>
          <w:rFonts w:ascii="Times New Roman" w:hAnsi="Times New Roman"/>
          <w:b/>
          <w:i w:val="0"/>
          <w:color w:val="auto"/>
          <w:sz w:val="24"/>
          <w:szCs w:val="24"/>
        </w:rPr>
        <w:t>GC-MS chromatogram of r</w:t>
      </w:r>
      <w:r w:rsidRPr="00FC0918">
        <w:rPr>
          <w:rFonts w:ascii="Times New Roman" w:hAnsi="Times New Roman"/>
          <w:b/>
          <w:i w:val="0"/>
          <w:color w:val="auto"/>
          <w:sz w:val="24"/>
          <w:szCs w:val="24"/>
        </w:rPr>
        <w:t xml:space="preserve">osella </w:t>
      </w:r>
      <w:r w:rsidR="005E2577">
        <w:rPr>
          <w:rFonts w:ascii="Times New Roman" w:hAnsi="Times New Roman"/>
          <w:b/>
          <w:i w:val="0"/>
          <w:color w:val="auto"/>
          <w:sz w:val="24"/>
          <w:szCs w:val="24"/>
        </w:rPr>
        <w:t>t</w:t>
      </w:r>
      <w:r w:rsidRPr="00FC0918">
        <w:rPr>
          <w:rFonts w:ascii="Times New Roman" w:hAnsi="Times New Roman"/>
          <w:b/>
          <w:i w:val="0"/>
          <w:color w:val="auto"/>
          <w:sz w:val="24"/>
          <w:szCs w:val="24"/>
        </w:rPr>
        <w:t>ea F6</w:t>
      </w:r>
    </w:p>
    <w:p w14:paraId="5BE8A57E" w14:textId="77777777" w:rsidR="00DF083E" w:rsidRDefault="00DF083E" w:rsidP="005500A9">
      <w:pPr>
        <w:pStyle w:val="Caption"/>
        <w:keepNext/>
        <w:spacing w:before="240" w:line="480" w:lineRule="auto"/>
        <w:jc w:val="center"/>
        <w:rPr>
          <w:rFonts w:ascii="Times New Roman" w:hAnsi="Times New Roman"/>
          <w:b/>
          <w:i w:val="0"/>
          <w:color w:val="auto"/>
          <w:sz w:val="24"/>
          <w:szCs w:val="24"/>
        </w:rPr>
        <w:sectPr w:rsidR="00DF083E" w:rsidSect="005500A9">
          <w:type w:val="continuous"/>
          <w:pgSz w:w="11907" w:h="16839" w:code="9"/>
          <w:pgMar w:top="1440" w:right="1440" w:bottom="1440" w:left="1440" w:header="720" w:footer="720" w:gutter="0"/>
          <w:cols w:space="283"/>
          <w:docGrid w:linePitch="360"/>
        </w:sectPr>
      </w:pPr>
    </w:p>
    <w:p w14:paraId="0721C51E" w14:textId="77777777" w:rsidR="005034A7" w:rsidRPr="00462A99" w:rsidRDefault="00FC0918" w:rsidP="005500A9">
      <w:pPr>
        <w:pStyle w:val="Caption"/>
        <w:keepNext/>
        <w:spacing w:before="240" w:line="480" w:lineRule="auto"/>
        <w:jc w:val="center"/>
        <w:rPr>
          <w:rFonts w:ascii="Times New Roman" w:hAnsi="Times New Roman"/>
          <w:i w:val="0"/>
          <w:color w:val="auto"/>
          <w:sz w:val="24"/>
          <w:szCs w:val="24"/>
        </w:rPr>
      </w:pPr>
      <w:r>
        <w:rPr>
          <w:rFonts w:ascii="Times New Roman" w:hAnsi="Times New Roman"/>
          <w:b/>
          <w:i w:val="0"/>
          <w:color w:val="auto"/>
          <w:sz w:val="24"/>
          <w:szCs w:val="24"/>
        </w:rPr>
        <w:t>Tab</w:t>
      </w:r>
      <w:r w:rsidR="005034A7">
        <w:rPr>
          <w:rFonts w:ascii="Times New Roman" w:hAnsi="Times New Roman"/>
          <w:b/>
          <w:i w:val="0"/>
          <w:color w:val="auto"/>
          <w:sz w:val="24"/>
          <w:szCs w:val="24"/>
        </w:rPr>
        <w:t>l</w:t>
      </w:r>
      <w:r>
        <w:rPr>
          <w:rFonts w:ascii="Times New Roman" w:hAnsi="Times New Roman"/>
          <w:b/>
          <w:i w:val="0"/>
          <w:color w:val="auto"/>
          <w:sz w:val="24"/>
          <w:szCs w:val="24"/>
        </w:rPr>
        <w:t>e</w:t>
      </w:r>
      <w:r w:rsidR="005034A7" w:rsidRPr="00462A99">
        <w:rPr>
          <w:rFonts w:ascii="Times New Roman" w:hAnsi="Times New Roman"/>
          <w:b/>
          <w:i w:val="0"/>
          <w:color w:val="auto"/>
          <w:sz w:val="24"/>
          <w:szCs w:val="24"/>
        </w:rPr>
        <w:t xml:space="preserve"> </w:t>
      </w:r>
      <w:r w:rsidR="005034A7" w:rsidRPr="00462A99">
        <w:rPr>
          <w:rFonts w:ascii="Times New Roman" w:hAnsi="Times New Roman"/>
          <w:b/>
          <w:i w:val="0"/>
          <w:color w:val="auto"/>
          <w:sz w:val="24"/>
          <w:szCs w:val="24"/>
        </w:rPr>
        <w:fldChar w:fldCharType="begin"/>
      </w:r>
      <w:r w:rsidR="005034A7" w:rsidRPr="00462A99">
        <w:rPr>
          <w:rFonts w:ascii="Times New Roman" w:hAnsi="Times New Roman"/>
          <w:b/>
          <w:i w:val="0"/>
          <w:color w:val="auto"/>
          <w:sz w:val="24"/>
          <w:szCs w:val="24"/>
        </w:rPr>
        <w:instrText xml:space="preserve"> SEQ Table \* ARABIC </w:instrText>
      </w:r>
      <w:r w:rsidR="005034A7" w:rsidRPr="00462A99">
        <w:rPr>
          <w:rFonts w:ascii="Times New Roman" w:hAnsi="Times New Roman"/>
          <w:b/>
          <w:i w:val="0"/>
          <w:color w:val="auto"/>
          <w:sz w:val="24"/>
          <w:szCs w:val="24"/>
        </w:rPr>
        <w:fldChar w:fldCharType="separate"/>
      </w:r>
      <w:r w:rsidR="003A0730">
        <w:rPr>
          <w:rFonts w:ascii="Times New Roman" w:hAnsi="Times New Roman"/>
          <w:b/>
          <w:i w:val="0"/>
          <w:noProof/>
          <w:color w:val="auto"/>
          <w:sz w:val="24"/>
          <w:szCs w:val="24"/>
        </w:rPr>
        <w:t>1</w:t>
      </w:r>
      <w:r w:rsidR="005034A7" w:rsidRPr="00462A99">
        <w:rPr>
          <w:rFonts w:ascii="Times New Roman" w:hAnsi="Times New Roman"/>
          <w:b/>
          <w:i w:val="0"/>
          <w:color w:val="auto"/>
          <w:sz w:val="24"/>
          <w:szCs w:val="24"/>
        </w:rPr>
        <w:fldChar w:fldCharType="end"/>
      </w:r>
      <w:r w:rsidR="005034A7" w:rsidRPr="00462A99">
        <w:rPr>
          <w:rFonts w:ascii="Times New Roman" w:hAnsi="Times New Roman"/>
          <w:b/>
          <w:i w:val="0"/>
          <w:color w:val="auto"/>
          <w:sz w:val="24"/>
          <w:szCs w:val="24"/>
        </w:rPr>
        <w:t>.</w:t>
      </w:r>
      <w:r w:rsidR="005034A7" w:rsidRPr="00462A99">
        <w:rPr>
          <w:rFonts w:ascii="Times New Roman" w:hAnsi="Times New Roman"/>
          <w:i w:val="0"/>
          <w:color w:val="auto"/>
          <w:sz w:val="24"/>
          <w:szCs w:val="24"/>
        </w:rPr>
        <w:t xml:space="preserve"> </w:t>
      </w:r>
      <w:r>
        <w:rPr>
          <w:rFonts w:ascii="Times New Roman" w:hAnsi="Times New Roman"/>
          <w:b/>
          <w:i w:val="0"/>
          <w:color w:val="auto"/>
          <w:sz w:val="24"/>
          <w:szCs w:val="24"/>
        </w:rPr>
        <w:t>Peak report of roselle tea</w:t>
      </w:r>
      <w:r w:rsidR="005E2577">
        <w:rPr>
          <w:rFonts w:ascii="Times New Roman" w:hAnsi="Times New Roman"/>
          <w:b/>
          <w:i w:val="0"/>
          <w:color w:val="auto"/>
          <w:sz w:val="24"/>
          <w:szCs w:val="24"/>
        </w:rPr>
        <w:t xml:space="preserve"> F6</w:t>
      </w:r>
      <w:r>
        <w:rPr>
          <w:rFonts w:ascii="Times New Roman" w:hAnsi="Times New Roman"/>
          <w:b/>
          <w:i w:val="0"/>
          <w:color w:val="auto"/>
          <w:sz w:val="24"/>
          <w:szCs w:val="24"/>
        </w:rPr>
        <w:t xml:space="preserve"> compound</w:t>
      </w:r>
    </w:p>
    <w:tbl>
      <w:tblPr>
        <w:tblW w:w="0" w:type="auto"/>
        <w:jc w:val="center"/>
        <w:tblBorders>
          <w:top w:val="single" w:sz="4" w:space="0" w:color="auto"/>
          <w:bottom w:val="single" w:sz="4" w:space="0" w:color="auto"/>
        </w:tblBorders>
        <w:tblLook w:val="04A0" w:firstRow="1" w:lastRow="0" w:firstColumn="1" w:lastColumn="0" w:noHBand="0" w:noVBand="1"/>
      </w:tblPr>
      <w:tblGrid>
        <w:gridCol w:w="1043"/>
        <w:gridCol w:w="1393"/>
        <w:gridCol w:w="1250"/>
        <w:gridCol w:w="3685"/>
      </w:tblGrid>
      <w:tr w:rsidR="005034A7" w:rsidRPr="005752FC" w14:paraId="5CA19BC3" w14:textId="77777777" w:rsidTr="00AF0019">
        <w:trPr>
          <w:jc w:val="center"/>
        </w:trPr>
        <w:tc>
          <w:tcPr>
            <w:tcW w:w="1043" w:type="dxa"/>
            <w:tcBorders>
              <w:top w:val="single" w:sz="4" w:space="0" w:color="auto"/>
              <w:bottom w:val="single" w:sz="4" w:space="0" w:color="auto"/>
            </w:tcBorders>
            <w:shd w:val="clear" w:color="auto" w:fill="auto"/>
          </w:tcPr>
          <w:p w14:paraId="3593CA6B"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proofErr w:type="spellStart"/>
            <w:r w:rsidRPr="00AF0019">
              <w:rPr>
                <w:rFonts w:ascii="Times New Roman" w:eastAsia="Times New Roman" w:hAnsi="Times New Roman"/>
                <w:sz w:val="24"/>
                <w:szCs w:val="24"/>
              </w:rPr>
              <w:t>Puncak</w:t>
            </w:r>
            <w:proofErr w:type="spellEnd"/>
            <w:r w:rsidRPr="00AF0019">
              <w:rPr>
                <w:rFonts w:ascii="Times New Roman" w:eastAsia="Times New Roman" w:hAnsi="Times New Roman"/>
                <w:sz w:val="24"/>
                <w:szCs w:val="24"/>
              </w:rPr>
              <w:t>#</w:t>
            </w:r>
          </w:p>
        </w:tc>
        <w:tc>
          <w:tcPr>
            <w:tcW w:w="1393" w:type="dxa"/>
            <w:tcBorders>
              <w:top w:val="single" w:sz="4" w:space="0" w:color="auto"/>
              <w:bottom w:val="single" w:sz="4" w:space="0" w:color="auto"/>
            </w:tcBorders>
            <w:shd w:val="clear" w:color="auto" w:fill="auto"/>
          </w:tcPr>
          <w:p w14:paraId="01C93F65"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 xml:space="preserve">Waktu </w:t>
            </w:r>
            <w:proofErr w:type="spellStart"/>
            <w:r w:rsidRPr="00AF0019">
              <w:rPr>
                <w:rFonts w:ascii="Times New Roman" w:eastAsia="Times New Roman" w:hAnsi="Times New Roman"/>
                <w:sz w:val="24"/>
                <w:szCs w:val="24"/>
              </w:rPr>
              <w:t>Retensi</w:t>
            </w:r>
            <w:proofErr w:type="spellEnd"/>
          </w:p>
        </w:tc>
        <w:tc>
          <w:tcPr>
            <w:tcW w:w="1250" w:type="dxa"/>
            <w:tcBorders>
              <w:top w:val="single" w:sz="4" w:space="0" w:color="auto"/>
              <w:bottom w:val="single" w:sz="4" w:space="0" w:color="auto"/>
            </w:tcBorders>
            <w:shd w:val="clear" w:color="auto" w:fill="auto"/>
          </w:tcPr>
          <w:p w14:paraId="2091B4F9"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 Area</w:t>
            </w:r>
          </w:p>
        </w:tc>
        <w:tc>
          <w:tcPr>
            <w:tcW w:w="3685" w:type="dxa"/>
            <w:tcBorders>
              <w:top w:val="single" w:sz="4" w:space="0" w:color="auto"/>
              <w:bottom w:val="single" w:sz="4" w:space="0" w:color="auto"/>
            </w:tcBorders>
            <w:shd w:val="clear" w:color="auto" w:fill="auto"/>
          </w:tcPr>
          <w:p w14:paraId="10D87F8A"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 xml:space="preserve">Nama </w:t>
            </w:r>
            <w:proofErr w:type="spellStart"/>
            <w:r w:rsidRPr="00AF0019">
              <w:rPr>
                <w:rFonts w:ascii="Times New Roman" w:eastAsia="Times New Roman" w:hAnsi="Times New Roman"/>
                <w:sz w:val="24"/>
                <w:szCs w:val="24"/>
              </w:rPr>
              <w:t>Senyawa</w:t>
            </w:r>
            <w:proofErr w:type="spellEnd"/>
          </w:p>
        </w:tc>
      </w:tr>
      <w:tr w:rsidR="005034A7" w:rsidRPr="005752FC" w14:paraId="5DBD0B84" w14:textId="77777777" w:rsidTr="00AF0019">
        <w:trPr>
          <w:jc w:val="center"/>
        </w:trPr>
        <w:tc>
          <w:tcPr>
            <w:tcW w:w="1043" w:type="dxa"/>
            <w:tcBorders>
              <w:top w:val="single" w:sz="4" w:space="0" w:color="auto"/>
            </w:tcBorders>
            <w:shd w:val="clear" w:color="auto" w:fill="auto"/>
          </w:tcPr>
          <w:p w14:paraId="3EE15E62"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1</w:t>
            </w:r>
          </w:p>
        </w:tc>
        <w:tc>
          <w:tcPr>
            <w:tcW w:w="1393" w:type="dxa"/>
            <w:tcBorders>
              <w:top w:val="single" w:sz="4" w:space="0" w:color="auto"/>
            </w:tcBorders>
            <w:shd w:val="clear" w:color="auto" w:fill="auto"/>
          </w:tcPr>
          <w:p w14:paraId="66EEA792" w14:textId="77777777" w:rsidR="005034A7" w:rsidRPr="00AF0019" w:rsidRDefault="0080086E" w:rsidP="005500A9">
            <w:pPr>
              <w:pStyle w:val="ListParagraph"/>
              <w:spacing w:after="0" w:line="480" w:lineRule="auto"/>
              <w:ind w:left="0"/>
              <w:jc w:val="right"/>
              <w:rPr>
                <w:rFonts w:ascii="Times New Roman" w:eastAsia="Times New Roman" w:hAnsi="Times New Roman"/>
                <w:sz w:val="24"/>
                <w:szCs w:val="24"/>
              </w:rPr>
            </w:pPr>
            <w:r>
              <w:rPr>
                <w:rFonts w:ascii="Times New Roman" w:eastAsia="Times New Roman" w:hAnsi="Times New Roman"/>
                <w:sz w:val="24"/>
                <w:szCs w:val="24"/>
              </w:rPr>
              <w:t>22.</w:t>
            </w:r>
            <w:r w:rsidR="005034A7" w:rsidRPr="00AF0019">
              <w:rPr>
                <w:rFonts w:ascii="Times New Roman" w:eastAsia="Times New Roman" w:hAnsi="Times New Roman"/>
                <w:sz w:val="24"/>
                <w:szCs w:val="24"/>
              </w:rPr>
              <w:t>375</w:t>
            </w:r>
          </w:p>
        </w:tc>
        <w:tc>
          <w:tcPr>
            <w:tcW w:w="1250" w:type="dxa"/>
            <w:tcBorders>
              <w:top w:val="single" w:sz="4" w:space="0" w:color="auto"/>
            </w:tcBorders>
            <w:shd w:val="clear" w:color="auto" w:fill="auto"/>
          </w:tcPr>
          <w:p w14:paraId="6C9F814D" w14:textId="77777777" w:rsidR="005034A7" w:rsidRPr="00AF0019" w:rsidRDefault="005034A7" w:rsidP="005500A9">
            <w:pPr>
              <w:pStyle w:val="ListParagraph"/>
              <w:spacing w:after="0" w:line="480" w:lineRule="auto"/>
              <w:ind w:left="0"/>
              <w:jc w:val="right"/>
              <w:rPr>
                <w:rFonts w:ascii="Times New Roman" w:eastAsia="Times New Roman" w:hAnsi="Times New Roman"/>
                <w:sz w:val="24"/>
                <w:szCs w:val="24"/>
              </w:rPr>
            </w:pPr>
            <w:r w:rsidRPr="00AF0019">
              <w:rPr>
                <w:rFonts w:ascii="Times New Roman" w:eastAsia="Times New Roman" w:hAnsi="Times New Roman"/>
                <w:sz w:val="24"/>
                <w:szCs w:val="24"/>
              </w:rPr>
              <w:t>31</w:t>
            </w:r>
            <w:r w:rsidR="0080086E">
              <w:rPr>
                <w:rFonts w:ascii="Times New Roman" w:eastAsia="Times New Roman" w:hAnsi="Times New Roman"/>
                <w:sz w:val="24"/>
                <w:szCs w:val="24"/>
              </w:rPr>
              <w:t>.</w:t>
            </w:r>
            <w:r w:rsidRPr="00AF0019">
              <w:rPr>
                <w:rFonts w:ascii="Times New Roman" w:eastAsia="Times New Roman" w:hAnsi="Times New Roman"/>
                <w:sz w:val="24"/>
                <w:szCs w:val="24"/>
              </w:rPr>
              <w:t>56</w:t>
            </w:r>
          </w:p>
        </w:tc>
        <w:tc>
          <w:tcPr>
            <w:tcW w:w="3685" w:type="dxa"/>
            <w:tcBorders>
              <w:top w:val="single" w:sz="4" w:space="0" w:color="auto"/>
            </w:tcBorders>
            <w:shd w:val="clear" w:color="auto" w:fill="auto"/>
          </w:tcPr>
          <w:p w14:paraId="3E304B14" w14:textId="77777777" w:rsidR="005034A7" w:rsidRPr="00AF0019" w:rsidRDefault="005034A7" w:rsidP="005500A9">
            <w:pPr>
              <w:pStyle w:val="ListParagraph"/>
              <w:spacing w:after="0" w:line="480" w:lineRule="auto"/>
              <w:ind w:left="459"/>
              <w:jc w:val="both"/>
              <w:rPr>
                <w:rFonts w:ascii="Times New Roman" w:eastAsia="Times New Roman" w:hAnsi="Times New Roman"/>
                <w:i/>
                <w:sz w:val="24"/>
                <w:szCs w:val="24"/>
              </w:rPr>
            </w:pPr>
            <w:r w:rsidRPr="00AF0019">
              <w:rPr>
                <w:rFonts w:ascii="Times New Roman" w:eastAsia="Times New Roman" w:hAnsi="Times New Roman"/>
                <w:i/>
                <w:sz w:val="24"/>
                <w:szCs w:val="24"/>
              </w:rPr>
              <w:t>(Z)-</w:t>
            </w:r>
            <w:proofErr w:type="spellStart"/>
            <w:r w:rsidRPr="00AF0019">
              <w:rPr>
                <w:rFonts w:ascii="Times New Roman" w:eastAsia="Times New Roman" w:hAnsi="Times New Roman"/>
                <w:i/>
                <w:sz w:val="24"/>
                <w:szCs w:val="24"/>
              </w:rPr>
              <w:t>citral</w:t>
            </w:r>
            <w:proofErr w:type="spellEnd"/>
          </w:p>
        </w:tc>
      </w:tr>
      <w:tr w:rsidR="005034A7" w:rsidRPr="005752FC" w14:paraId="3D5D31B8" w14:textId="77777777" w:rsidTr="00AF0019">
        <w:trPr>
          <w:jc w:val="center"/>
        </w:trPr>
        <w:tc>
          <w:tcPr>
            <w:tcW w:w="1043" w:type="dxa"/>
            <w:shd w:val="clear" w:color="auto" w:fill="auto"/>
          </w:tcPr>
          <w:p w14:paraId="386FAB35"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2</w:t>
            </w:r>
          </w:p>
        </w:tc>
        <w:tc>
          <w:tcPr>
            <w:tcW w:w="1393" w:type="dxa"/>
            <w:shd w:val="clear" w:color="auto" w:fill="auto"/>
          </w:tcPr>
          <w:p w14:paraId="2F07EB71" w14:textId="77777777" w:rsidR="005034A7" w:rsidRPr="00AF0019" w:rsidRDefault="005034A7" w:rsidP="005500A9">
            <w:pPr>
              <w:pStyle w:val="ListParagraph"/>
              <w:spacing w:after="0" w:line="480" w:lineRule="auto"/>
              <w:ind w:left="0"/>
              <w:jc w:val="right"/>
              <w:rPr>
                <w:rFonts w:ascii="Times New Roman" w:eastAsia="Times New Roman" w:hAnsi="Times New Roman"/>
                <w:sz w:val="24"/>
                <w:szCs w:val="24"/>
              </w:rPr>
            </w:pPr>
            <w:r w:rsidRPr="00AF0019">
              <w:rPr>
                <w:rFonts w:ascii="Times New Roman" w:eastAsia="Times New Roman" w:hAnsi="Times New Roman"/>
                <w:sz w:val="24"/>
                <w:szCs w:val="24"/>
              </w:rPr>
              <w:t>24</w:t>
            </w:r>
            <w:r w:rsidR="0080086E">
              <w:rPr>
                <w:rFonts w:ascii="Times New Roman" w:eastAsia="Times New Roman" w:hAnsi="Times New Roman"/>
                <w:sz w:val="24"/>
                <w:szCs w:val="24"/>
              </w:rPr>
              <w:t>.</w:t>
            </w:r>
            <w:r w:rsidRPr="00AF0019">
              <w:rPr>
                <w:rFonts w:ascii="Times New Roman" w:eastAsia="Times New Roman" w:hAnsi="Times New Roman"/>
                <w:sz w:val="24"/>
                <w:szCs w:val="24"/>
              </w:rPr>
              <w:t>346</w:t>
            </w:r>
          </w:p>
        </w:tc>
        <w:tc>
          <w:tcPr>
            <w:tcW w:w="1250" w:type="dxa"/>
            <w:shd w:val="clear" w:color="auto" w:fill="auto"/>
          </w:tcPr>
          <w:p w14:paraId="5DE02A10" w14:textId="77777777" w:rsidR="005034A7" w:rsidRPr="00AF0019" w:rsidRDefault="005034A7" w:rsidP="005500A9">
            <w:pPr>
              <w:pStyle w:val="ListParagraph"/>
              <w:spacing w:after="0" w:line="480" w:lineRule="auto"/>
              <w:ind w:left="0"/>
              <w:jc w:val="right"/>
              <w:rPr>
                <w:rFonts w:ascii="Times New Roman" w:eastAsia="Times New Roman" w:hAnsi="Times New Roman"/>
                <w:sz w:val="24"/>
                <w:szCs w:val="24"/>
              </w:rPr>
            </w:pPr>
            <w:r w:rsidRPr="00AF0019">
              <w:rPr>
                <w:rFonts w:ascii="Times New Roman" w:eastAsia="Times New Roman" w:hAnsi="Times New Roman"/>
                <w:sz w:val="24"/>
                <w:szCs w:val="24"/>
              </w:rPr>
              <w:t>58</w:t>
            </w:r>
            <w:r w:rsidR="0080086E">
              <w:rPr>
                <w:rFonts w:ascii="Times New Roman" w:eastAsia="Times New Roman" w:hAnsi="Times New Roman"/>
                <w:sz w:val="24"/>
                <w:szCs w:val="24"/>
              </w:rPr>
              <w:t>.</w:t>
            </w:r>
            <w:r w:rsidRPr="00AF0019">
              <w:rPr>
                <w:rFonts w:ascii="Times New Roman" w:eastAsia="Times New Roman" w:hAnsi="Times New Roman"/>
                <w:sz w:val="24"/>
                <w:szCs w:val="24"/>
              </w:rPr>
              <w:t>90</w:t>
            </w:r>
          </w:p>
        </w:tc>
        <w:tc>
          <w:tcPr>
            <w:tcW w:w="3685" w:type="dxa"/>
            <w:shd w:val="clear" w:color="auto" w:fill="auto"/>
          </w:tcPr>
          <w:p w14:paraId="7BBA83BF" w14:textId="77777777" w:rsidR="005034A7" w:rsidRPr="00AF0019" w:rsidRDefault="005034A7" w:rsidP="005500A9">
            <w:pPr>
              <w:pStyle w:val="ListParagraph"/>
              <w:spacing w:after="0" w:line="480" w:lineRule="auto"/>
              <w:ind w:left="459"/>
              <w:jc w:val="both"/>
              <w:rPr>
                <w:rFonts w:ascii="Times New Roman" w:eastAsia="Times New Roman" w:hAnsi="Times New Roman"/>
                <w:i/>
                <w:sz w:val="24"/>
                <w:szCs w:val="24"/>
              </w:rPr>
            </w:pPr>
            <w:r w:rsidRPr="00AF0019">
              <w:rPr>
                <w:rFonts w:ascii="Times New Roman" w:eastAsia="Times New Roman" w:hAnsi="Times New Roman"/>
                <w:i/>
                <w:sz w:val="24"/>
                <w:szCs w:val="24"/>
              </w:rPr>
              <w:t>(E)-</w:t>
            </w:r>
            <w:proofErr w:type="spellStart"/>
            <w:r w:rsidRPr="00AF0019">
              <w:rPr>
                <w:rFonts w:ascii="Times New Roman" w:eastAsia="Times New Roman" w:hAnsi="Times New Roman"/>
                <w:i/>
                <w:sz w:val="24"/>
                <w:szCs w:val="24"/>
              </w:rPr>
              <w:t>citral</w:t>
            </w:r>
            <w:proofErr w:type="spellEnd"/>
          </w:p>
        </w:tc>
      </w:tr>
      <w:tr w:rsidR="005034A7" w:rsidRPr="005752FC" w14:paraId="3DAB2BB2" w14:textId="77777777" w:rsidTr="00AF0019">
        <w:trPr>
          <w:jc w:val="center"/>
        </w:trPr>
        <w:tc>
          <w:tcPr>
            <w:tcW w:w="1043" w:type="dxa"/>
            <w:shd w:val="clear" w:color="auto" w:fill="auto"/>
          </w:tcPr>
          <w:p w14:paraId="3B493915"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3</w:t>
            </w:r>
          </w:p>
        </w:tc>
        <w:tc>
          <w:tcPr>
            <w:tcW w:w="1393" w:type="dxa"/>
            <w:shd w:val="clear" w:color="auto" w:fill="auto"/>
          </w:tcPr>
          <w:p w14:paraId="031FC149" w14:textId="77777777" w:rsidR="005034A7" w:rsidRPr="00AF0019" w:rsidRDefault="005034A7" w:rsidP="005500A9">
            <w:pPr>
              <w:pStyle w:val="ListParagraph"/>
              <w:spacing w:after="0" w:line="480" w:lineRule="auto"/>
              <w:ind w:left="0"/>
              <w:jc w:val="right"/>
              <w:rPr>
                <w:rFonts w:ascii="Times New Roman" w:eastAsia="Times New Roman" w:hAnsi="Times New Roman"/>
                <w:sz w:val="24"/>
                <w:szCs w:val="24"/>
              </w:rPr>
            </w:pPr>
            <w:r w:rsidRPr="00AF0019">
              <w:rPr>
                <w:rFonts w:ascii="Times New Roman" w:eastAsia="Times New Roman" w:hAnsi="Times New Roman"/>
                <w:sz w:val="24"/>
                <w:szCs w:val="24"/>
              </w:rPr>
              <w:t>28</w:t>
            </w:r>
            <w:r w:rsidR="0080086E">
              <w:rPr>
                <w:rFonts w:ascii="Times New Roman" w:eastAsia="Times New Roman" w:hAnsi="Times New Roman"/>
                <w:sz w:val="24"/>
                <w:szCs w:val="24"/>
              </w:rPr>
              <w:t>.</w:t>
            </w:r>
            <w:r w:rsidRPr="00AF0019">
              <w:rPr>
                <w:rFonts w:ascii="Times New Roman" w:eastAsia="Times New Roman" w:hAnsi="Times New Roman"/>
                <w:sz w:val="24"/>
                <w:szCs w:val="24"/>
              </w:rPr>
              <w:t>121</w:t>
            </w:r>
          </w:p>
        </w:tc>
        <w:tc>
          <w:tcPr>
            <w:tcW w:w="1250" w:type="dxa"/>
            <w:shd w:val="clear" w:color="auto" w:fill="auto"/>
          </w:tcPr>
          <w:p w14:paraId="7446BB26" w14:textId="77777777" w:rsidR="005034A7" w:rsidRPr="00AF0019" w:rsidRDefault="005034A7" w:rsidP="005500A9">
            <w:pPr>
              <w:pStyle w:val="ListParagraph"/>
              <w:spacing w:after="0" w:line="480" w:lineRule="auto"/>
              <w:ind w:left="0"/>
              <w:jc w:val="right"/>
              <w:rPr>
                <w:rFonts w:ascii="Times New Roman" w:eastAsia="Times New Roman" w:hAnsi="Times New Roman"/>
                <w:sz w:val="24"/>
                <w:szCs w:val="24"/>
              </w:rPr>
            </w:pPr>
            <w:r w:rsidRPr="00AF0019">
              <w:rPr>
                <w:rFonts w:ascii="Times New Roman" w:eastAsia="Times New Roman" w:hAnsi="Times New Roman"/>
                <w:sz w:val="24"/>
                <w:szCs w:val="24"/>
              </w:rPr>
              <w:t>6</w:t>
            </w:r>
            <w:r w:rsidR="0080086E">
              <w:rPr>
                <w:rFonts w:ascii="Times New Roman" w:eastAsia="Times New Roman" w:hAnsi="Times New Roman"/>
                <w:sz w:val="24"/>
                <w:szCs w:val="24"/>
              </w:rPr>
              <w:t>.</w:t>
            </w:r>
            <w:r w:rsidRPr="00AF0019">
              <w:rPr>
                <w:rFonts w:ascii="Times New Roman" w:eastAsia="Times New Roman" w:hAnsi="Times New Roman"/>
                <w:sz w:val="24"/>
                <w:szCs w:val="24"/>
              </w:rPr>
              <w:t>35</w:t>
            </w:r>
          </w:p>
        </w:tc>
        <w:tc>
          <w:tcPr>
            <w:tcW w:w="3685" w:type="dxa"/>
            <w:shd w:val="clear" w:color="auto" w:fill="auto"/>
          </w:tcPr>
          <w:p w14:paraId="58869266" w14:textId="77777777" w:rsidR="005034A7" w:rsidRPr="00AF0019" w:rsidRDefault="005034A7" w:rsidP="005500A9">
            <w:pPr>
              <w:pStyle w:val="ListParagraph"/>
              <w:spacing w:after="0" w:line="480" w:lineRule="auto"/>
              <w:ind w:left="459"/>
              <w:jc w:val="both"/>
              <w:rPr>
                <w:rFonts w:ascii="Times New Roman" w:eastAsia="Times New Roman" w:hAnsi="Times New Roman"/>
                <w:i/>
                <w:sz w:val="24"/>
                <w:szCs w:val="24"/>
              </w:rPr>
            </w:pPr>
            <w:proofErr w:type="spellStart"/>
            <w:r w:rsidRPr="00AF0019">
              <w:rPr>
                <w:rFonts w:ascii="Times New Roman" w:eastAsia="Times New Roman" w:hAnsi="Times New Roman"/>
                <w:i/>
                <w:sz w:val="24"/>
                <w:szCs w:val="24"/>
              </w:rPr>
              <w:t>Nerol</w:t>
            </w:r>
            <w:proofErr w:type="spellEnd"/>
          </w:p>
        </w:tc>
      </w:tr>
      <w:tr w:rsidR="005034A7" w:rsidRPr="005752FC" w14:paraId="4C0E8281" w14:textId="77777777" w:rsidTr="00AF0019">
        <w:trPr>
          <w:jc w:val="center"/>
        </w:trPr>
        <w:tc>
          <w:tcPr>
            <w:tcW w:w="1043" w:type="dxa"/>
            <w:shd w:val="clear" w:color="auto" w:fill="auto"/>
          </w:tcPr>
          <w:p w14:paraId="6AB820EE" w14:textId="77777777" w:rsidR="005034A7" w:rsidRPr="00AF0019" w:rsidRDefault="005034A7" w:rsidP="005500A9">
            <w:pPr>
              <w:pStyle w:val="ListParagraph"/>
              <w:spacing w:after="0" w:line="480" w:lineRule="auto"/>
              <w:ind w:left="0"/>
              <w:jc w:val="center"/>
              <w:rPr>
                <w:rFonts w:ascii="Times New Roman" w:eastAsia="Times New Roman" w:hAnsi="Times New Roman"/>
                <w:sz w:val="24"/>
                <w:szCs w:val="24"/>
              </w:rPr>
            </w:pPr>
            <w:r w:rsidRPr="00AF0019">
              <w:rPr>
                <w:rFonts w:ascii="Times New Roman" w:eastAsia="Times New Roman" w:hAnsi="Times New Roman"/>
                <w:sz w:val="24"/>
                <w:szCs w:val="24"/>
              </w:rPr>
              <w:t>4</w:t>
            </w:r>
          </w:p>
        </w:tc>
        <w:tc>
          <w:tcPr>
            <w:tcW w:w="1393" w:type="dxa"/>
            <w:shd w:val="clear" w:color="auto" w:fill="auto"/>
          </w:tcPr>
          <w:p w14:paraId="34D43F6D" w14:textId="77777777" w:rsidR="005034A7" w:rsidRPr="00AF0019" w:rsidRDefault="005034A7" w:rsidP="005500A9">
            <w:pPr>
              <w:pStyle w:val="ListParagraph"/>
              <w:spacing w:after="0" w:line="480" w:lineRule="auto"/>
              <w:ind w:left="0"/>
              <w:jc w:val="right"/>
              <w:rPr>
                <w:rFonts w:ascii="Times New Roman" w:eastAsia="Times New Roman" w:hAnsi="Times New Roman"/>
                <w:sz w:val="24"/>
                <w:szCs w:val="24"/>
              </w:rPr>
            </w:pPr>
            <w:r w:rsidRPr="00AF0019">
              <w:rPr>
                <w:rFonts w:ascii="Times New Roman" w:eastAsia="Times New Roman" w:hAnsi="Times New Roman"/>
                <w:sz w:val="24"/>
                <w:szCs w:val="24"/>
              </w:rPr>
              <w:t>33</w:t>
            </w:r>
            <w:r w:rsidR="0080086E">
              <w:rPr>
                <w:rFonts w:ascii="Times New Roman" w:eastAsia="Times New Roman" w:hAnsi="Times New Roman"/>
                <w:sz w:val="24"/>
                <w:szCs w:val="24"/>
              </w:rPr>
              <w:t>.</w:t>
            </w:r>
            <w:r w:rsidRPr="00AF0019">
              <w:rPr>
                <w:rFonts w:ascii="Times New Roman" w:eastAsia="Times New Roman" w:hAnsi="Times New Roman"/>
                <w:sz w:val="24"/>
                <w:szCs w:val="24"/>
              </w:rPr>
              <w:t>620</w:t>
            </w:r>
          </w:p>
        </w:tc>
        <w:tc>
          <w:tcPr>
            <w:tcW w:w="1250" w:type="dxa"/>
            <w:shd w:val="clear" w:color="auto" w:fill="auto"/>
          </w:tcPr>
          <w:p w14:paraId="4D9200D4" w14:textId="77777777" w:rsidR="005034A7" w:rsidRPr="00AF0019" w:rsidRDefault="005034A7" w:rsidP="005500A9">
            <w:pPr>
              <w:pStyle w:val="ListParagraph"/>
              <w:spacing w:after="0" w:line="480" w:lineRule="auto"/>
              <w:ind w:left="0"/>
              <w:jc w:val="right"/>
              <w:rPr>
                <w:rFonts w:ascii="Times New Roman" w:eastAsia="Times New Roman" w:hAnsi="Times New Roman"/>
                <w:sz w:val="24"/>
                <w:szCs w:val="24"/>
              </w:rPr>
            </w:pPr>
            <w:r w:rsidRPr="00AF0019">
              <w:rPr>
                <w:rFonts w:ascii="Times New Roman" w:eastAsia="Times New Roman" w:hAnsi="Times New Roman"/>
                <w:sz w:val="24"/>
                <w:szCs w:val="24"/>
              </w:rPr>
              <w:t>3</w:t>
            </w:r>
            <w:r w:rsidR="0080086E">
              <w:rPr>
                <w:rFonts w:ascii="Times New Roman" w:eastAsia="Times New Roman" w:hAnsi="Times New Roman"/>
                <w:sz w:val="24"/>
                <w:szCs w:val="24"/>
              </w:rPr>
              <w:t>.</w:t>
            </w:r>
            <w:r w:rsidRPr="00AF0019">
              <w:rPr>
                <w:rFonts w:ascii="Times New Roman" w:eastAsia="Times New Roman" w:hAnsi="Times New Roman"/>
                <w:sz w:val="24"/>
                <w:szCs w:val="24"/>
              </w:rPr>
              <w:t>20</w:t>
            </w:r>
          </w:p>
        </w:tc>
        <w:tc>
          <w:tcPr>
            <w:tcW w:w="3685" w:type="dxa"/>
            <w:shd w:val="clear" w:color="auto" w:fill="auto"/>
          </w:tcPr>
          <w:p w14:paraId="7536A2BF" w14:textId="77777777" w:rsidR="005034A7" w:rsidRPr="00AF0019" w:rsidRDefault="005034A7" w:rsidP="005500A9">
            <w:pPr>
              <w:pStyle w:val="ListParagraph"/>
              <w:spacing w:after="0" w:line="480" w:lineRule="auto"/>
              <w:ind w:left="459"/>
              <w:jc w:val="both"/>
              <w:rPr>
                <w:rFonts w:ascii="Times New Roman" w:eastAsia="Times New Roman" w:hAnsi="Times New Roman"/>
                <w:i/>
                <w:sz w:val="24"/>
                <w:szCs w:val="24"/>
              </w:rPr>
            </w:pPr>
            <w:proofErr w:type="spellStart"/>
            <w:r w:rsidRPr="00AF0019">
              <w:rPr>
                <w:rFonts w:ascii="Times New Roman" w:eastAsia="Times New Roman" w:hAnsi="Times New Roman"/>
                <w:i/>
                <w:sz w:val="24"/>
                <w:szCs w:val="24"/>
              </w:rPr>
              <w:t>Cinnamaldehide</w:t>
            </w:r>
            <w:proofErr w:type="spellEnd"/>
          </w:p>
        </w:tc>
      </w:tr>
    </w:tbl>
    <w:p w14:paraId="63B17849" w14:textId="77777777" w:rsidR="00887221" w:rsidRDefault="00887221" w:rsidP="005500A9">
      <w:pPr>
        <w:spacing w:after="0" w:line="480" w:lineRule="auto"/>
        <w:jc w:val="both"/>
        <w:rPr>
          <w:rFonts w:ascii="Times New Roman" w:hAnsi="Times New Roman"/>
          <w:b/>
          <w:sz w:val="24"/>
          <w:szCs w:val="24"/>
        </w:rPr>
        <w:sectPr w:rsidR="00887221" w:rsidSect="005500A9">
          <w:type w:val="continuous"/>
          <w:pgSz w:w="11907" w:h="16839" w:code="9"/>
          <w:pgMar w:top="1440" w:right="1440" w:bottom="1440" w:left="1440" w:header="720" w:footer="720" w:gutter="0"/>
          <w:cols w:space="283"/>
          <w:docGrid w:linePitch="360"/>
        </w:sectPr>
      </w:pPr>
    </w:p>
    <w:p w14:paraId="2A60782A" w14:textId="77777777" w:rsidR="00BE522B" w:rsidRPr="00EE6443" w:rsidRDefault="00D25494" w:rsidP="005500A9">
      <w:pPr>
        <w:spacing w:before="240" w:after="0" w:line="480" w:lineRule="auto"/>
        <w:jc w:val="both"/>
        <w:rPr>
          <w:rFonts w:ascii="Times New Roman" w:hAnsi="Times New Roman"/>
          <w:b/>
          <w:sz w:val="24"/>
          <w:szCs w:val="24"/>
          <w:lang w:val="id-ID"/>
        </w:rPr>
      </w:pPr>
      <w:r>
        <w:rPr>
          <w:rFonts w:ascii="Times New Roman" w:hAnsi="Times New Roman"/>
          <w:b/>
          <w:sz w:val="24"/>
          <w:szCs w:val="24"/>
          <w:lang w:val="id-ID"/>
        </w:rPr>
        <w:t>DISCUSSION</w:t>
      </w:r>
    </w:p>
    <w:p w14:paraId="51EEAF76" w14:textId="77777777" w:rsidR="005E2577" w:rsidRDefault="005E2577" w:rsidP="005500A9">
      <w:pPr>
        <w:pStyle w:val="NormalWeb"/>
        <w:spacing w:before="0" w:beforeAutospacing="0" w:after="0" w:afterAutospacing="0" w:line="480" w:lineRule="auto"/>
        <w:ind w:firstLine="720"/>
        <w:jc w:val="both"/>
        <w:rPr>
          <w:noProof/>
          <w:lang w:val="id-ID"/>
        </w:rPr>
      </w:pPr>
      <w:r w:rsidRPr="005E2577">
        <w:rPr>
          <w:noProof/>
          <w:lang w:val="id-ID"/>
        </w:rPr>
        <w:t xml:space="preserve">Rosella flower tea, rich in anthocyanin flavonoids, is recognized for its potential chemopreventive properties. To enhance these effects, additional natural ingredients such as cinnamon and lemongrass oil vapor are incorporated. These adjuncts feature aldehyde moieties </w:t>
      </w:r>
      <w:r w:rsidRPr="005E2577">
        <w:rPr>
          <w:noProof/>
          <w:lang w:val="id-ID"/>
        </w:rPr>
        <w:lastRenderedPageBreak/>
        <w:t xml:space="preserve">as their primary constituents, which are well-documented for their cytotoxic effects, inducing apoptosis, necrosis, cell cycle arrest, cellular dysfunction, and reduction in tumor size </w:t>
      </w:r>
      <w:r w:rsidR="00D73132">
        <w:rPr>
          <w:noProof/>
          <w:lang w:val="id-ID"/>
        </w:rPr>
        <w:fldChar w:fldCharType="begin" w:fldLock="1"/>
      </w:r>
      <w:r w:rsidR="00D73132">
        <w:rPr>
          <w:noProof/>
          <w:lang w:val="id-ID"/>
        </w:rPr>
        <w:instrText>ADDIN CSL_CITATION {"citationItems":[{"id":"ITEM-1","itemData":{"DOI":"10.1155/2017/9268468","ISSN":"23146141","PMID":"29230418","abstract":"Essential oils (EOs), extracted from aromatic plants, are interesting natural products and represent an important part of the traditional pharmacopeia. The use of some EOs as alternative antimicrobial and pharmaceutical agents has attracted considerable interest recently. Most of the EOs and their single constituents have been reported to inhibit several phytopathogens, human pathogens, and insects as well as their efective uses in food and pharmaceutical industries. The current review discussed the chemical composition and bioactivity of some important EOs extracted from some Mediterranean plants and their principal bioactive single constituents. Information has been furnished on the mechanisms, mode of actions, and factors affecting the bioactivity of some single constituents from different Mediterranean plant EOs. The current review gives an insight into some common plant EOs belonging to Lamiaceae, Apiaceae, Rutaceae, and Verbenaceae families commonly growing in Mediterranean region. Further information has been provided about the medical uses of some EOs for several human diseases covering the pharmacological effects (anti-inflammatory, antioxidant, and anticarcinogenic). The antimicrobial effects have been also considered in the current review. Although plant EOs are considered promising natural alternatives for many chemical drugs, they still need more specific research for wide application especially in food and pharmaceutical industries.","author":[{"dropping-particle":"","family":"Elshafie","given":"Hazem S.","non-dropping-particle":"","parse-names":false,"suffix":""},{"dropping-particle":"","family":"Camele","given":"Ippolito","non-dropping-particle":"","parse-names":false,"suffix":""}],"container-title":"BioMed Research International","id":"ITEM-1","issue":"1","issued":{"date-parts":[["2017"]]},"page":"1-14","publisher":"Hindawi Limited","title":"An Overview of The Biological Effects of Some Mediterranean Essential Oils on Human Health","type":"article-journal","volume":"1"},"uris":["http://www.mendeley.com/documents/?uuid=3d4fd07b-cb58-3c74-9212-aaf87e71f265"]},{"id":"ITEM-2","itemData":{"DOI":"10.1016/j.biopha.2021.112514","ISSN":"19506007","PMID":"34963087","abstract":"Cancer retains a central place in fatality rates among the wide variety of diseases known world over, and the conventional synthetic medicaments, albeit used until now, produce numerous side effects. As a result, newer, better, and safer alternatives such as natural plant products, are gravely required. Essential oils (EOs) offer a plethora of bioactivities including antibacterial, antiviral, antioxidant, and anticancer properties, therefore, the use of EOs in combination with synthetic drugs or aromatherapy continues to be popular in many settings. In view of the paramount importance of EOs and their potential bioactivities, this review summarizes the current knowledge on the interconnection between EOs and cancer treatment. In particular, the current review presents an updated summary of the chemical composition of EOs, their current applications in cancer treatments based on clinical studies, and the mechanism of action against the cancer cell lines. Similarly, an overview of using EOs in aromatherapy and enhancing immunity during cancer treatment is provided. Further, this review focuses on the recent technological advancements such as the loading of EOs using protein microspheres, ligands, or nanoemulsions/nanoencapsulation, which offer multiple benefits in cancer treatment via site-specific and target-oriented delivery of drugs. The continuing clinical studies of EOs implicate that their pharmacological applications are a rewarding research area.","author":[{"dropping-particle":"","family":"Sharma","given":"Mansi","non-dropping-particle":"","parse-names":false,"suffix":""},{"dropping-particle":"","family":"Grewal","given":"Kamaljit","non-dropping-particle":"","parse-names":false,"suffix":""},{"dropping-particle":"","family":"Jandrotia","given":"Rupali","non-dropping-particle":"","parse-names":false,"suffix":""},{"dropping-particle":"","family":"Batish","given":"Daizy Rani","non-dropping-particle":"","parse-names":false,"suffix":""},{"dropping-particle":"","family":"Singh","given":"Harminder Pal","non-dropping-particle":"","parse-names":false,"suffix":""},{"dropping-particle":"","family":"Kohli","given":"Ravinder Kumar","non-dropping-particle":"","parse-names":false,"suffix":""}],"container-title":"Biomedicine and Pharmacotherapy","id":"ITEM-2","issue":"1","issued":{"date-parts":[["2022"]]},"page":"1-36","publisher":"Elsevier Masson SAS","title":"Essential oils as anticancer agents: Potential role in malignancies, drug delivery mechanisms, and immune system enhancement","type":"article-journal","volume":"146"},"uris":["http://www.mendeley.com/documents/?uuid=ad15f65b-1897-4ebc-a27c-fe63c2f84592"]}],"mendeley":{"formattedCitation":"(Elshafie &amp; Camele, 2017; Sharma et al., 2022)","plainTextFormattedCitation":"(Elshafie &amp; Camele, 2017; Sharma et al., 2022)","previouslyFormattedCitation":"(Elshafie &amp; Camele, 2017; Sharma et al., 2022)"},"properties":{"noteIndex":0},"schema":"https://github.com/citation-style-language/schema/raw/master/csl-citation.json"}</w:instrText>
      </w:r>
      <w:r w:rsidR="00D73132">
        <w:rPr>
          <w:noProof/>
          <w:lang w:val="id-ID"/>
        </w:rPr>
        <w:fldChar w:fldCharType="separate"/>
      </w:r>
      <w:r w:rsidR="00D73132" w:rsidRPr="00D73132">
        <w:rPr>
          <w:noProof/>
          <w:lang w:val="id-ID"/>
        </w:rPr>
        <w:t>(Elshafie &amp; Camele, 2017; Sharma et al., 2022)</w:t>
      </w:r>
      <w:r w:rsidR="00D73132">
        <w:rPr>
          <w:noProof/>
          <w:lang w:val="id-ID"/>
        </w:rPr>
        <w:fldChar w:fldCharType="end"/>
      </w:r>
      <w:r w:rsidRPr="005E2577">
        <w:rPr>
          <w:noProof/>
          <w:lang w:val="id-ID"/>
        </w:rPr>
        <w:t>. Notably, cinnamaldehyde from cinnamon has demonstrated cytotoxicity against breast cancer cells by impeding cell proliferation, invasion, and migration, altering cytoplasmic morphology, and promoting apoptosis</w:t>
      </w:r>
      <w:r w:rsidR="00D73132">
        <w:rPr>
          <w:noProof/>
          <w:lang w:val="id-ID"/>
        </w:rPr>
        <w:t xml:space="preserve"> </w:t>
      </w:r>
      <w:r w:rsidR="00D73132">
        <w:rPr>
          <w:noProof/>
          <w:lang w:val="id-ID"/>
        </w:rPr>
        <w:fldChar w:fldCharType="begin" w:fldLock="1"/>
      </w:r>
      <w:r w:rsidR="00D73132">
        <w:rPr>
          <w:noProof/>
          <w:lang w:val="id-ID"/>
        </w:rPr>
        <w:instrText>ADDIN CSL_CITATION {"citationItems":[{"id":"ITEM-1","itemData":{"DOI":"10.3389/fphar.2020.582719","ISSN":"16639812","abstract":"Background: Breast cancer has become one of the most common malignant tumors in women owing to its increasing incidence each year. Clinical studies have shown that Cinnamomum cassia (L.) J. Presl (cinnamon) has a positive influence on the prevention and treatment of breast cancer. Aim: We aimed to screen the potential targets of cinnamon in the treatment of breast cancer through network pharmacology and explore its potential therapeutic mechanism through cell experiments. Methods: We used the TCMSP, TCM Database @ Taiwan, and TCMID websites and established the active ingredient and target database of cinnamon. Thereafter, we used the GeneCards and OMIM databases to establish a breast cancer-related target database, which matched the cinnamon target database. Based on the matching results, the STRING database was used to analyze the interaction between the targets, and the biological information annotation database was used to analyze the biological process of the target (gene ontology) and the pathway enrichment of Kyoto Encyclopedia of Genes and Genomes (KEGG). After establishing the layout of the analysis, we used Cytoscape 3.6.0 software for network analysis. Finally, the cell experiment was used to verify the anti-breast cancer effect of cinnamaldehyde. Results: Our research showed that the main components of cinnamon, including cinnamaldehyde, can play a role in the treatment of breast cancer through 59 possible important targets. Subsequently, enrichment analysis by gene ontology and Kyoto Encyclopedia of Genes and Genomes showed that 83 cell biological processes and 37 pathways were associated with breast cancer (p &lt; 0.05), including the peroxisome proliferator-activated receptor and PI3K-Akt pathway, which are closely related to tumor cell apoptosis. In vitro cell verification experiments showed that cinnamaldehyde can significantly inhibit cell proliferation, change cell morphology, inhibit cell migration and invasion ability, and promote cell apoptosis. Conclusion: Our results showed that cinnamaldehyde is a potential novel drug for the treatment and prevention of breast cancer.","author":[{"dropping-particle":"","family":"Liu","given":"Yufei","non-dropping-particle":"","parse-names":false,"suffix":""},{"dropping-particle":"","family":"An","given":"Tian","non-dropping-particle":"","parse-names":false,"suffix":""},{"dropping-particle":"","family":"Wan","given":"Donggui","non-dropping-particle":"","parse-names":false,"suffix":""},{"dropping-particle":"","family":"Yu","given":"Bowen","non-dropping-particle":"","parse-names":false,"suffix":""},{"dropping-particle":"","family":"Fan","given":"Yingyi","non-dropping-particle":"","parse-names":false,"suffix":""},{"dropping-particle":"","family":"Pei","given":"Xiaohua","non-dropping-particle":"","parse-names":false,"suffix":""}],"container-title":"Frontiers in Pharmacology","id":"ITEM-1","issued":{"date-parts":[["2020","12","9"]]},"publisher":"Frontiers Media S.A.","title":"Targets and Mechanism Used by Cinnamaldehyde, the Main Active Ingredient in Cinnamon, in the Treatment of Breast Cancer","type":"article-journal","volume":"11"},"uris":["http://www.mendeley.com/documents/?uuid=b386855f-1f29-3c4c-9134-38949e054a5f"]}],"mendeley":{"formattedCitation":"(Liu et al., 2020)","plainTextFormattedCitation":"(Liu et al., 2020)","previouslyFormattedCitation":"(Liu et al., 2020)"},"properties":{"noteIndex":0},"schema":"https://github.com/citation-style-language/schema/raw/master/csl-citation.json"}</w:instrText>
      </w:r>
      <w:r w:rsidR="00D73132">
        <w:rPr>
          <w:noProof/>
          <w:lang w:val="id-ID"/>
        </w:rPr>
        <w:fldChar w:fldCharType="separate"/>
      </w:r>
      <w:r w:rsidR="00D73132" w:rsidRPr="00D73132">
        <w:rPr>
          <w:noProof/>
          <w:lang w:val="id-ID"/>
        </w:rPr>
        <w:t>(Liu et al., 2020)</w:t>
      </w:r>
      <w:r w:rsidR="00D73132">
        <w:rPr>
          <w:noProof/>
          <w:lang w:val="id-ID"/>
        </w:rPr>
        <w:fldChar w:fldCharType="end"/>
      </w:r>
      <w:r w:rsidRPr="005E2577">
        <w:rPr>
          <w:noProof/>
          <w:lang w:val="id-ID"/>
        </w:rPr>
        <w:t>. This effect is mediated through downregulation of the antiapoptotic protein c-MYC</w:t>
      </w:r>
      <w:r w:rsidR="00D73132">
        <w:rPr>
          <w:noProof/>
          <w:lang w:val="id-ID"/>
        </w:rPr>
        <w:t xml:space="preserve"> </w:t>
      </w:r>
      <w:r w:rsidR="00D73132">
        <w:rPr>
          <w:noProof/>
          <w:lang w:val="id-ID"/>
        </w:rPr>
        <w:fldChar w:fldCharType="begin" w:fldLock="1"/>
      </w:r>
      <w:r w:rsidR="00D73132">
        <w:rPr>
          <w:noProof/>
          <w:lang w:val="id-ID"/>
        </w:rPr>
        <w:instrText>ADDIN CSL_CITATION {"citationItems":[{"id":"ITEM-1","itemData":{"DOI":"10.21203/rs.3.rs-2058567/v1","author":[{"dropping-particle":"","family":"Yi","given":"Xiaohong","non-dropping-particle":"","parse-names":false,"suffix":""},{"dropping-particle":"","family":"Pei","given":"Tianli","non-dropping-particle":"","parse-names":false,"suffix":""},{"dropping-particle":"","family":"Li","given":"Shengrong","non-dropping-particle":"","parse-names":false,"suffix":""},{"dropping-particle":"","family":"Huang","given":"Lijun","non-dropping-particle":"","parse-names":false,"suffix":""}],"container-title":"Research Square","id":"ITEM-1","issue":"1","issued":{"date-parts":[["2022"]]},"page":"1-18","title":"Cinnamic aldehyde induces apoptosis of breast cancer cells via STAT3/cMyc pathway","type":"article-journal","volume":"1"},"uris":["http://www.mendeley.com/documents/?uuid=e9ac8fd5-41fe-35dd-b0fa-4670c2b88c35"]}],"mendeley":{"formattedCitation":"(Yi et al., 2022)","plainTextFormattedCitation":"(Yi et al., 2022)","previouslyFormattedCitation":"(Yi et al., 2022)"},"properties":{"noteIndex":0},"schema":"https://github.com/citation-style-language/schema/raw/master/csl-citation.json"}</w:instrText>
      </w:r>
      <w:r w:rsidR="00D73132">
        <w:rPr>
          <w:noProof/>
          <w:lang w:val="id-ID"/>
        </w:rPr>
        <w:fldChar w:fldCharType="separate"/>
      </w:r>
      <w:r w:rsidR="00D73132" w:rsidRPr="00D73132">
        <w:rPr>
          <w:noProof/>
          <w:lang w:val="id-ID"/>
        </w:rPr>
        <w:t>(Yi et al., 2022)</w:t>
      </w:r>
      <w:r w:rsidR="00D73132">
        <w:rPr>
          <w:noProof/>
          <w:lang w:val="id-ID"/>
        </w:rPr>
        <w:fldChar w:fldCharType="end"/>
      </w:r>
      <w:r w:rsidRPr="005E2577">
        <w:rPr>
          <w:noProof/>
          <w:lang w:val="id-ID"/>
        </w:rPr>
        <w:t>, elevation of intracellular ROS via mitochondrial membrane disruption, and activ</w:t>
      </w:r>
      <w:r w:rsidR="00D73132">
        <w:rPr>
          <w:noProof/>
          <w:lang w:val="id-ID"/>
        </w:rPr>
        <w:t xml:space="preserve">ation of caspase-8 </w:t>
      </w:r>
      <w:r w:rsidR="00D73132">
        <w:rPr>
          <w:noProof/>
          <w:lang w:val="id-ID"/>
        </w:rPr>
        <w:fldChar w:fldCharType="begin" w:fldLock="1"/>
      </w:r>
      <w:r w:rsidR="00D73132">
        <w:rPr>
          <w:noProof/>
          <w:lang w:val="id-ID"/>
        </w:rPr>
        <w:instrText>ADDIN CSL_CITATION {"citationItems":[{"id":"ITEM-1","itemData":{"DOI":"10.1371/journal.pone.0145216","ISSN":"19326203","PMID":"26700476","abstract":"Background Cinnamomum cassia bark is a popular culinary spice used for flavoring and in traditional medicine. C. cassia extract (CE) induces apoptosis in many cell lines. In the present study, particular differences in the mechanism of the anti-proliferative property of C. cassia on two breast cancer cell lines, MCF-7 and MDA-MB-231, were elucidated. Methodology/Principal Findings The hexane extract of C. cassia demonstrated high anti-proliferative activity against MCF-7 and MDA-MB-231 cells (IC50, 34±3.52 and 32.42 ±0.37 μg/ml, respectively). Oxidative stress due to disruption of antioxidant enzyme (SOD, GPx and CAT) activity is suggested as the probable cause for apoptosis initiation. Though the main apoptosis pathway in both cell lines was found to be through caspase-8 activation, caspase-9 was also activated in MDA-MB-231 cells but suppressed in MCF-7 cells. Gene expression studies revealed that AKT1, the caspase-9 suppressor, was up-regulated in MCF-7 cells while down-regulated in MDA-MB-231 cells. Although, AKT1 protein expression in both cell lines was down-regulated, a steady increase in MCF-7 cells was observed after a sharp decrease of suppression of AKT1. Trans-cinnamaldehyde and coumarin were isolated and identified and found to be mainly responsible for the observed anti-proliferative activity of CE (Cinnamomum cassia). Conclusion Activation of caspase-8 is reported for the first time to be involved as the main apoptosis pathway in breast cancer cell lines upon treatment with C. cassia. The double effects of C. cassia on AKT1 gene expression in MCF-7 cells is reported for the first time in this study.","author":[{"dropping-particle":"","family":"Rad","given":"Sima Kianpour","non-dropping-particle":"","parse-names":false,"suffix":""},{"dropping-particle":"","family":"Kanthimathi","given":"M. S.","non-dropping-particle":"","parse-names":false,"suffix":""},{"dropping-particle":"","family":"Malek","given":"Nurestri Abd","non-dropping-particle":"","parse-names":false,"suffix":""},{"dropping-particle":"","family":"Lee","given":"Guan Serm","non-dropping-particle":"","parse-names":false,"suffix":""},{"dropping-particle":"","family":"Looi","given":"Chung Yeng","non-dropping-particle":"","parse-names":false,"suffix":""},{"dropping-particle":"","family":"Wong","given":"Won Fen","non-dropping-particle":"","parse-names":false,"suffix":""}],"container-title":"PLoS one","id":"ITEM-1","issue":"12","issued":{"date-parts":[["2015","12","1"]]},"page":"1-22","publisher":"Public Library of Science","title":"Cinnamomum cassia Suppresses Caspase-9 through Stimulation of AKT1 in MCF-7 Cells but Not in MDA-MB-231 Cells","type":"article-journal","volume":"10"},"uris":["http://www.mendeley.com/documents/?uuid=fdbac0a8-d6c6-3423-9aff-012bcb8df033"]}],"mendeley":{"formattedCitation":"(Rad et al., 2015)","plainTextFormattedCitation":"(Rad et al., 2015)","previouslyFormattedCitation":"(Rad et al., 2015)"},"properties":{"noteIndex":0},"schema":"https://github.com/citation-style-language/schema/raw/master/csl-citation.json"}</w:instrText>
      </w:r>
      <w:r w:rsidR="00D73132">
        <w:rPr>
          <w:noProof/>
          <w:lang w:val="id-ID"/>
        </w:rPr>
        <w:fldChar w:fldCharType="separate"/>
      </w:r>
      <w:r w:rsidR="00D73132" w:rsidRPr="00D73132">
        <w:rPr>
          <w:noProof/>
          <w:lang w:val="id-ID"/>
        </w:rPr>
        <w:t>(Rad et al., 2015)</w:t>
      </w:r>
      <w:r w:rsidR="00D73132">
        <w:rPr>
          <w:noProof/>
          <w:lang w:val="id-ID"/>
        </w:rPr>
        <w:fldChar w:fldCharType="end"/>
      </w:r>
      <w:r w:rsidRPr="005E2577">
        <w:rPr>
          <w:noProof/>
          <w:lang w:val="id-ID"/>
        </w:rPr>
        <w:t xml:space="preserve">. Meanwhile, citral, the principal bioactive constituent in lemongrass oil, significantly inhibits the proliferation of MCF-7 breast cancer cells by inducing apoptosis and reducing the ALDH-positive cell population. This action involves downregulation of β-catenin and cyclin D1 proteins, concomitant upregulation of phospho-β-catenin, and modulation of the Wnt/β-catenin pathway </w:t>
      </w:r>
      <w:r w:rsidR="00D73132">
        <w:rPr>
          <w:noProof/>
          <w:lang w:val="id-ID"/>
        </w:rPr>
        <w:fldChar w:fldCharType="begin" w:fldLock="1"/>
      </w:r>
      <w:r w:rsidR="00D73132">
        <w:rPr>
          <w:noProof/>
          <w:lang w:val="id-ID"/>
        </w:rPr>
        <w:instrText>ADDIN CSL_CITATION {"citationItems":[{"id":"ITEM-1","itemData":{"abstract":"Introduction: As the high incidence of breast cancer has a profound impact on a global scale, there is a critical need to improve the clinical outcome of the patients, including efforts to utilize bioactive natural products as treatment or preventive measures. Citral, the essential oil of lemongrass has been reported to possess cytotoxicity in breast cancer cell line. The aim of present study was to determine the capability of citral in targeting aldehyde dehydrogenase-positive (ALDH+) cells in breast cancer cells. Methods: Both MCF-7 and MDA-MB-231 cells were cultured in serum-free media to generate multicellular tumour spheroids for the evaluation of citral as an antiproliferative agent. The cells were treated with identified IC 50 (50±4.30 µM and 56±3.17 µM of citral, respectively) to investigate the cytotoxicity of citral. Staining using Propidium Iodide (PI) and Hoechst 33342 was carried out to determine cell proliferation and viability. Finally, ALDH+ cells were quantified via ALDEFLUOR assay. Analysis of differences was carried out by analysis of variance (ANOVA) and independent t-test with p&lt;0.05 considered statistically significant. Results: The size of spheroids in both cancer cell lines were reduced after treatment with the citral. PI and Hoechst 33342 staining also revealed that citral gave rise to a mixture of cells that are normal and undergoing apoptosis and necrosis. ALDE-FLUOR assay analysis revealed citral significantly (p &lt;0.05) inhibited the population of ALDH+ cells in MCF7 cells. Conclusion: It was demonstrated that citral reduced the ALDH+ cell population in MCF7 breast cancer spheroids by inhibiting the ALDH activity.","author":[{"dropping-particle":"","family":"Rusli","given":"Muhammad Ehsan Fitri","non-dropping-particle":"","parse-names":false,"suffix":""},{"dropping-particle":"","family":"Rosli","given":"Rozita","non-dropping-particle":"","parse-names":false,"suffix":""},{"dropping-particle":"","family":"Ramli","given":"Ummu Bar'iah","non-dropping-particle":"","parse-names":false,"suffix":""},{"dropping-particle":"","family":"Suhaimi","given":"Shafinah Ahmad","non-dropping-particle":"","parse-names":false,"suffix":""},{"dropping-particle":"","family":"Saad","given":"Norazalina","non-dropping-particle":"","parse-names":false,"suffix":""}],"container-title":"Malaysian Journal of Medicine and Health Sciences","id":"ITEM-1","issue":"2","issued":{"date-parts":[["2022"]]},"page":"2636-9346","title":"The Potentiality of Citral in Targeting Breast Cancer Multicellular Tumour Spheroids (MTS)","type":"article-journal","volume":"18"},"uris":["http://www.mendeley.com/documents/?uuid=3a0551ca-289a-36e9-8886-b4086b111543"]},{"id":"ITEM-2","itemData":{"DOI":"10.1016/j.molonc.2016.08.004","ISSN":"18780261","PMID":"27592281","abstract":"Breast cancer stem cells (CSCs) can be identified by increased Aldefluor fluorescence caused by increased expression of aldehyde dehydrogenase 1A3 (ALDH1A3), as well as ALDH1A1 and ALDH2. In addition to being a CSC marker, ALDH1A3 regulates gene expression via retinoic acid (RA) signaling and plays a key role in the progression and chemotherapy resistance of cancer. Therefore, ALDH1A3 represents a druggable anti-cancer target of interest. Since to date, there are no characterized ALDH1A3 isoform inhibitors, drugs that were previously described as inhibiting the activity of other ALDH isoforms were tested for anti-ALDH1A3 activity. Twelve drugs (3-hydroxy-DL-kynurenine, benomyl, citral, chloral hydrate, cyanamide, daidzin, DEAB, disulfiram, gossypol, kynurenic acid, molinate, and pargyline) were compared for their efficacy in inducing apoptosis and reducing ALDH1A3, ALDH1A1 and ALDH2-associated Aldefluor fluorescence in breast cancer cells. Citral was identified as the best inhibitor of ALDH1A3, reducing the Aldefluor fluorescence in breast cancer cell lines and in a patient-derived tumor xenograft. Nanoparticle encapsulated citral specifically reduced the enhanced tumor growth of MDA-MB-231 cells overexpressing ALDH1A3. To determine the potential mechanisms of citral-mediated tumor growth inhibition, we performed cell proliferation, clonogenic, and gene expression assays. Citral reduced ALDH1A3-mediated colony formation and expression of ALDH1A3-inducible genes. In conclusion, citral is an effective ALDH1A3 inhibitor and is able to block ALDH1A3-mediated breast tumor growth, potentially via blocking its colony forming and gene expression regulation activity. The promise of ALDH1A3 inhibitors as adjuvant therapies for patients with tumors that have a large population of high-ALDH1A3 CSCs is discussed.","author":[{"dropping-particle":"","family":"Thomas","given":"Margaret Lois","non-dropping-particle":"","parse-names":false,"suffix":""},{"dropping-particle":"","family":"Antueno","given":"Roberto","non-dropping-particle":"de","parse-names":false,"suffix":""},{"dropping-particle":"","family":"Coyle","given":"Krysta Mila","non-dropping-particle":"","parse-names":false,"suffix":""},{"dropping-particle":"","family":"Sultan","given":"Mohammad","non-dropping-particle":"","parse-names":false,"suffix":""},{"dropping-particle":"","family":"Cruickshank","given":"Brianne Marie","non-dropping-particle":"","parse-names":false,"suffix":""},{"dropping-particle":"","family":"Giacomantonio","given":"Michael Anthony","non-dropping-particle":"","parse-names":false,"suffix":""},{"dropping-particle":"","family":"Giacomantonio","given":"Carman Anthony","non-dropping-particle":"","parse-names":false,"suffix":""},{"dropping-particle":"","family":"Duncan","given":"Roy","non-dropping-particle":"","parse-names":false,"suffix":""},{"dropping-particle":"","family":"Marcato","given":"Paola","non-dropping-particle":"","parse-names":false,"suffix":""}],"container-title":"Molecular Oncology","id":"ITEM-2","issue":"9","issued":{"date-parts":[["2016"]]},"page":"1485-1496","title":"Citral reduces breast tumor growth by inhibiting the cancer stem cell marker ALDH1A3","type":"article-journal","volume":"10"},"uris":["http://www.mendeley.com/documents/?uuid=287d662f-7519-4011-8570-ca764d195424"]}],"mendeley":{"formattedCitation":"(Rusli et al., 2022; Thomas et al., 2016)","plainTextFormattedCitation":"(Rusli et al., 2022; Thomas et al., 2016)","previouslyFormattedCitation":"(Rusli et al., 2022; Thomas et al., 2016)"},"properties":{"noteIndex":0},"schema":"https://github.com/citation-style-language/schema/raw/master/csl-citation.json"}</w:instrText>
      </w:r>
      <w:r w:rsidR="00D73132">
        <w:rPr>
          <w:noProof/>
          <w:lang w:val="id-ID"/>
        </w:rPr>
        <w:fldChar w:fldCharType="separate"/>
      </w:r>
      <w:r w:rsidR="00D73132" w:rsidRPr="00D73132">
        <w:rPr>
          <w:noProof/>
          <w:lang w:val="id-ID"/>
        </w:rPr>
        <w:t>(Rusli et al., 2022; Thomas et al., 2016)</w:t>
      </w:r>
      <w:r w:rsidR="00D73132">
        <w:rPr>
          <w:noProof/>
          <w:lang w:val="id-ID"/>
        </w:rPr>
        <w:fldChar w:fldCharType="end"/>
      </w:r>
      <w:r w:rsidR="00D73132">
        <w:rPr>
          <w:noProof/>
          <w:lang w:val="id-ID"/>
        </w:rPr>
        <w:t>.</w:t>
      </w:r>
      <w:r w:rsidR="00A43B7C" w:rsidRPr="00A43B7C">
        <w:rPr>
          <w:lang w:val="en-US" w:eastAsia="en-US"/>
        </w:rPr>
        <w:t xml:space="preserve"> </w:t>
      </w:r>
    </w:p>
    <w:p w14:paraId="4CCE114A" w14:textId="77777777" w:rsidR="005E2577" w:rsidRDefault="005E2577" w:rsidP="005500A9">
      <w:pPr>
        <w:pStyle w:val="NormalWeb"/>
        <w:spacing w:before="0" w:beforeAutospacing="0" w:after="0" w:afterAutospacing="0" w:line="480" w:lineRule="auto"/>
        <w:ind w:firstLine="720"/>
        <w:jc w:val="both"/>
        <w:rPr>
          <w:noProof/>
          <w:lang w:val="id-ID"/>
        </w:rPr>
      </w:pPr>
      <w:r w:rsidRPr="005E2577">
        <w:rPr>
          <w:noProof/>
          <w:lang w:val="id-ID"/>
        </w:rPr>
        <w:t xml:space="preserve">This study investigates the chemopreventive efficacy of rosella tea supplemented with cinnamon and lemongrass </w:t>
      </w:r>
      <w:r w:rsidR="009058C8">
        <w:rPr>
          <w:noProof/>
          <w:lang w:val="id-ID"/>
        </w:rPr>
        <w:t xml:space="preserve"> vapor</w:t>
      </w:r>
      <w:r w:rsidRPr="005E2577">
        <w:rPr>
          <w:noProof/>
          <w:lang w:val="id-ID"/>
        </w:rPr>
        <w:t xml:space="preserve"> against T47D breast cancer cells using the MTT assay to assess cytotoxic activity across varying ingredient concentrations. The experiment employed rosella tea as a negative control (F1) devoid of additional components. Results indicated that rosella tea alone (F1) exhibited limited cytotoxicity with an IC</w:t>
      </w:r>
      <w:r w:rsidRPr="00D11696">
        <w:rPr>
          <w:noProof/>
          <w:vertAlign w:val="subscript"/>
          <w:lang w:val="id-ID"/>
        </w:rPr>
        <w:t>50</w:t>
      </w:r>
      <w:r w:rsidRPr="005E2577">
        <w:rPr>
          <w:noProof/>
          <w:lang w:val="id-ID"/>
        </w:rPr>
        <w:t xml:space="preserve"> value of 2,066.6 µg/mL. Conversely, incorporation of cinnamon and lemongrass </w:t>
      </w:r>
      <w:r w:rsidR="009058C8">
        <w:rPr>
          <w:noProof/>
          <w:lang w:val="id-ID"/>
        </w:rPr>
        <w:t xml:space="preserve"> vapor</w:t>
      </w:r>
      <w:r w:rsidRPr="005E2577">
        <w:rPr>
          <w:noProof/>
          <w:lang w:val="id-ID"/>
        </w:rPr>
        <w:t xml:space="preserve"> notably enhanced the cytotoxic potency of the herbal infusion, particularly evident in formulations F5 and F6, which demonstrated IC</w:t>
      </w:r>
      <w:r w:rsidRPr="00D11696">
        <w:rPr>
          <w:noProof/>
          <w:vertAlign w:val="subscript"/>
          <w:lang w:val="id-ID"/>
        </w:rPr>
        <w:t>50</w:t>
      </w:r>
      <w:r w:rsidRPr="005E2577">
        <w:rPr>
          <w:noProof/>
          <w:lang w:val="id-ID"/>
        </w:rPr>
        <w:t xml:space="preserve"> values of 985.2 µg/mL and 730 µg/mL, respectively. These findings classify the F5 and F6 treatments within the moderate cytotoxicity range, suggesting potential chemopreventive capabilities, as categorized by established cytotoxicity thresholds: (1) potent cytotoxicity if IC</w:t>
      </w:r>
      <w:r w:rsidRPr="00D11696">
        <w:rPr>
          <w:noProof/>
          <w:vertAlign w:val="subscript"/>
          <w:lang w:val="id-ID"/>
        </w:rPr>
        <w:t>50</w:t>
      </w:r>
      <w:r w:rsidRPr="005E2577">
        <w:rPr>
          <w:noProof/>
          <w:lang w:val="id-ID"/>
        </w:rPr>
        <w:t>&lt;100 µg/mL, (2) moderate cytotoxicity if 100 µg/mL&lt; IC</w:t>
      </w:r>
      <w:r w:rsidRPr="00D11696">
        <w:rPr>
          <w:noProof/>
          <w:vertAlign w:val="subscript"/>
          <w:lang w:val="id-ID"/>
        </w:rPr>
        <w:t>50</w:t>
      </w:r>
      <w:r>
        <w:rPr>
          <w:noProof/>
          <w:lang w:val="id-ID"/>
        </w:rPr>
        <w:t>&lt;</w:t>
      </w:r>
      <w:r w:rsidRPr="005E2577">
        <w:rPr>
          <w:noProof/>
          <w:lang w:val="id-ID"/>
        </w:rPr>
        <w:t>1000 µg/mL, and weak cytotoxicity if IC</w:t>
      </w:r>
      <w:r w:rsidRPr="00D11696">
        <w:rPr>
          <w:noProof/>
          <w:vertAlign w:val="subscript"/>
          <w:lang w:val="id-ID"/>
        </w:rPr>
        <w:t>50</w:t>
      </w:r>
      <w:r w:rsidRPr="005E2577">
        <w:rPr>
          <w:noProof/>
          <w:lang w:val="id-ID"/>
        </w:rPr>
        <w:t xml:space="preserve">&gt;1000 µg/mL following 24-hour exposure to cancer cells </w:t>
      </w:r>
      <w:r w:rsidR="00D73132">
        <w:rPr>
          <w:noProof/>
          <w:lang w:val="id-ID"/>
        </w:rPr>
        <w:fldChar w:fldCharType="begin" w:fldLock="1"/>
      </w:r>
      <w:r w:rsidR="00D73132">
        <w:rPr>
          <w:noProof/>
          <w:lang w:val="id-ID"/>
        </w:rPr>
        <w:instrText>ADDIN CSL_CITATION {"citationItems":[{"id":"ITEM-1","itemData":{"abstract":"Cancer is the process of body cells proliferation that is uncontrolled. Treatment of cancer such as surgery, radiotherapy and chemotherapy have many side effects, therefore natural anticancer is needed. The soursoup (Annona muricata L.) is a traditional medicinal plant that is empirically used for anti-inflammatory and antitumor by Indonesian. The purpose of this study is to determine the cytotoxic effect of Annona muricata 's seed extract against T47D, HeLa, WiDr and Raji mammalian cancer cell lines. The cytotoxic test performed by MTT assay. The parameter obtained from the cytotoxic test was IC 50, that produce inhibitory concentration of cancer cells by 50%. The results showed that A. muricata seed extract has a cytotoxic activity with IC 50 were 20.36 ± 1.58 µg/mL; 8.91 ± 4.49 µg/mL; 40.06 ± 3.12 µg/mL and 11.24 ± 4.53 µg/mL for T47D, HeLa, WiDr and Raji cells respectively. It can be concluded that the A. muricata seed extract was potential to be delevoped as anticancer agent especially on servics cancer.","author":[{"dropping-particle":"","family":"Arifianti","given":"Lusiana","non-dropping-particle":"","parse-names":false,"suffix":""},{"dropping-particle":"","family":"Studiawan","given":"Herra","non-dropping-particle":"","parse-names":false,"suffix":""},{"dropping-particle":"","family":"Megawati","given":"Lulus","non-dropping-particle":"","parse-names":false,"suffix":""}],"container-title":"Jurnal Farmasi dan Ilmu Kefarmasian Indonesia","id":"ITEM-1","issue":"2","issued":{"date-parts":[["2014"]]},"title":"Uji Aktivitas Ekstrak Biji Sirsak (Annona muricata L.) Terhadap Sel Kanker Mamalia Secara In Vitro","type":"article-journal","volume":"1"},"uris":["http://www.mendeley.com/documents/?uuid=0ce72f45-07ca-3949-b21a-000c8aa1f834"]},{"id":"ITEM-2","itemData":{"abstract":"Background: Several studies focused on phytochemical as agents of cancer prevention and co-chemotherapy. One of Indonesian plant which has edible fruit but it hasn't been completely explored is Medinilla speciosa (Reinw.ex Bl.). Objective : The aim of this study is to examine the cytotoxic activity (IC50 value) of Medinilla speciosa (Reinw.ex Bl.) fruit ethanolic extract. Methods : Medinilla speciosa (Reinw.ex Bl.) fruit ethanolic extract was used in this study. The cytotoxic activity was investigated in vitro on human breast cancer T47D cell-line. The cells viability were assessed using MTT colorimetric assay. Breast cancer T47D cell lines was treated with fruit ethanolic extract (10, 25, 50, 100, 250, 500 and 1000 µg/ml) for 24 hour of incubation. This study also identified phytochemical compound of the fruit with thin layer chromatography (TLC). Results: The result showed that ethanolic extract of Medinilla speciosa (Reinw.ex Bl.) has moderate cytotoxicity on breast cancer T47D cell line with IC50 value of 614.50 µg/ml and yield the decrease of cell viability at higher concentration. Medinilla speciosa fruit can not be used as anticancer agent but chemoprevention agent. Phytochemical test showed that the fruit extract contain flavonoid and saponin compound. Conclusion: Ethanolic extract of Medinilla speciosa fruit exhibited moderate cytotocicity on breast cancer T47D cell lines with IC50 value was 614,50 µg/ml thus it can be used as chemopreventioan agent.","author":[{"dropping-particle":"","family":"Tussanti","given":"Iin","non-dropping-particle":"","parse-names":false,"suffix":""},{"dropping-particle":"","family":"Johan","given":"Andrew","non-dropping-particle":"","parse-names":false,"suffix":""},{"dropping-particle":"","family":"Kisdjamiatun","given":"","non-dropping-particle":"","parse-names":false,"suffix":""}],"container-title":"Jurnal Gizi Indonesia","id":"ITEM-2","issue":"2","issued":{"date-parts":[["2014"]]},"page":"53","title":"Sitotoksisitas in vitro Ekstrak Etanolik Buah Parijoto (Medinilla speciosa, reinw.ex bl.) terhadap Sel Kanker Payudara T47D","type":"article-journal","volume":"2"},"uris":["http://www.mendeley.com/documents/?uuid=538ce8d2-6ec4-3807-af68-54bc9b2994da"]},{"id":"ITEM-3","itemData":{"author":[{"dropping-particle":"","family":"Widyaningrum","given":"Naniek","non-dropping-particle":"","parse-names":false,"suffix":""},{"dropping-particle":"","family":"Hussana","given":"Atina","non-dropping-particle":"","parse-names":false,"suffix":""},{"dropping-particle":"","family":"Saeful Adi","given":"Reza","non-dropping-particle":"","parse-names":false,"suffix":""},{"dropping-particle":"","family":"Tiastuti","given":"Memi","non-dropping-particle":"","parse-names":false,"suffix":""},{"dropping-particle":"","family":"Misti Utami","given":"Karina","non-dropping-particle":"","parse-names":false,"suffix":""}],"container-title":"Jurnal Farmasi Sains dan Praktis","id":"ITEM-3","issue":"1","issued":{"date-parts":[["2020"]]},"page":"2579-4558","title":"Aktivitas Sitotoksik Kombinasi Ekstrak Buah Tin dan Minyak Zaitun terhadap Sel Kanker Payudara","type":"article-journal","volume":"6"},"uris":["http://www.mendeley.com/documents/?uuid=80bdb294-750e-3bd4-a683-66d8a19c5dc4"]}],"mendeley":{"formattedCitation":"(Arifianti et al., 2014; Tussanti et al., 2014; Widyaningrum et al., 2020)","plainTextFormattedCitation":"(Arifianti et al., 2014; Tussanti et al., 2014; Widyaningrum et al., 2020)","previouslyFormattedCitation":"(Arifianti et al., 2014; Tussanti et al., 2014; Widyaningrum et al., 2020)"},"properties":{"noteIndex":0},"schema":"https://github.com/citation-style-language/schema/raw/master/csl-citation.json"}</w:instrText>
      </w:r>
      <w:r w:rsidR="00D73132">
        <w:rPr>
          <w:noProof/>
          <w:lang w:val="id-ID"/>
        </w:rPr>
        <w:fldChar w:fldCharType="separate"/>
      </w:r>
      <w:r w:rsidR="00D73132" w:rsidRPr="00D73132">
        <w:rPr>
          <w:noProof/>
          <w:lang w:val="id-ID"/>
        </w:rPr>
        <w:t>(Arifianti et al., 2014; Tussanti et al., 2014; Widyaningrum et al., 2020)</w:t>
      </w:r>
      <w:r w:rsidR="00D73132">
        <w:rPr>
          <w:noProof/>
          <w:lang w:val="id-ID"/>
        </w:rPr>
        <w:fldChar w:fldCharType="end"/>
      </w:r>
      <w:r w:rsidRPr="005E2577">
        <w:rPr>
          <w:noProof/>
          <w:lang w:val="id-ID"/>
        </w:rPr>
        <w:t>.</w:t>
      </w:r>
    </w:p>
    <w:p w14:paraId="187A3268" w14:textId="77777777" w:rsidR="007C1837" w:rsidRPr="0051032D" w:rsidRDefault="005E2577" w:rsidP="005500A9">
      <w:pPr>
        <w:pStyle w:val="NormalWeb"/>
        <w:spacing w:before="0" w:beforeAutospacing="0" w:after="0" w:afterAutospacing="0" w:line="480" w:lineRule="auto"/>
        <w:ind w:firstLine="720"/>
        <w:jc w:val="both"/>
        <w:rPr>
          <w:noProof/>
          <w:lang w:val="id-ID"/>
        </w:rPr>
      </w:pPr>
      <w:r w:rsidRPr="005E2577">
        <w:rPr>
          <w:noProof/>
          <w:lang w:val="id-ID"/>
        </w:rPr>
        <w:lastRenderedPageBreak/>
        <w:t xml:space="preserve">These outcomes underscore the promise of rosella tea combined with cinnamon and lemongrass </w:t>
      </w:r>
      <w:r w:rsidR="009058C8">
        <w:rPr>
          <w:noProof/>
          <w:lang w:val="id-ID"/>
        </w:rPr>
        <w:t xml:space="preserve"> vapor</w:t>
      </w:r>
      <w:r w:rsidRPr="005E2577">
        <w:rPr>
          <w:noProof/>
          <w:lang w:val="id-ID"/>
        </w:rPr>
        <w:t xml:space="preserve"> as a potential chemopreventive agent for breast cancer, aligning with previous studies</w:t>
      </w:r>
      <w:r w:rsidR="00D73132">
        <w:rPr>
          <w:noProof/>
          <w:lang w:val="id-ID"/>
        </w:rPr>
        <w:t xml:space="preserve"> </w:t>
      </w:r>
      <w:r w:rsidR="00D73132">
        <w:rPr>
          <w:noProof/>
          <w:lang w:val="id-ID"/>
        </w:rPr>
        <w:fldChar w:fldCharType="begin" w:fldLock="1"/>
      </w:r>
      <w:r w:rsidR="00D73132">
        <w:rPr>
          <w:noProof/>
          <w:lang w:val="id-ID"/>
        </w:rPr>
        <w:instrText>ADDIN CSL_CITATION {"citationItems":[{"id":"ITEM-1","itemData":{"DOI":"10.4048/jbc.2015.18.3.225","ISSN":"20929900","abstract":"Purpose: The unmanageable side effects caused by current chemotherapy regimens to treat cancer are an unresolved problem. Although many phytonutrients are useful as chemoprevention without side effects, their effects are slower and smaller than conventional chemotherapy. In the present work, we examined the cumulative effect of two phytonutrients, curcumin and citral, on breast cancer cell lines and compared their effect with the known chemotherapy regimen of cyclophosphamide, methotrexate, and 5-fluorouracil. Methods: Using cultured breast cancer and normal epithelial cells, the cytotoxic and apoptotic effect of curcumin and citral was evaluated in vitro. The synergistic effect of curcumin and citral was calculated by a combination index study using the method by Chou and Talalay. Cell death pathways and mechanisms were analyzed by measuring intracellular reactive oxygen species (ROS) and apoptotic protein levels. Results: Curcumin and citral caused dose and time dependent cell death and showed a synergistic effect at effective concentration EC50 and above concentrations in breast cancer cells without disturbing normal breast epithelial cells. With combination curcumin and citral treatment, apoptosis induction and cell cycle arrest at G0/G1 phase in breast cancer cells were observed. Curcumin and citral generated ROS and activated p53 and poly (ADP-ribose) polymerase-1 mediated apoptotic pathways. Conclusion: The results of this study suggest that curcumin and citral in combination may be a useful therapeutic intervention for breast cancer.","author":[{"dropping-particle":"","family":"Patel","given":"Pinaki B.","non-dropping-particle":"","parse-names":false,"suffix":""},{"dropping-particle":"","family":"Thakkar","given":"Vasudev R.","non-dropping-particle":"","parse-names":false,"suffix":""},{"dropping-particle":"","family":"Patel","given":"Jagdish S.","non-dropping-particle":"","parse-names":false,"suffix":""}],"container-title":"Journal of Breast Cancer","id":"ITEM-1","issue":"3","issued":{"date-parts":[["2015"]]},"page":"225-234","title":"Cellular effect of curcumin and citral combination on breast cancer cells: Induction of apoptosis and cell cycle arrest","type":"article-journal","volume":"18"},"uris":["http://www.mendeley.com/documents/?uuid=22ca4d36-0b6d-41c5-8177-52cbdf764e02"]}],"mendeley":{"formattedCitation":"(Patel et al., 2015)","manualFormatting":"Patel et al., (2015)","plainTextFormattedCitation":"(Patel et al., 2015)"},"properties":{"noteIndex":0},"schema":"https://github.com/citation-style-language/schema/raw/master/csl-citation.json"}</w:instrText>
      </w:r>
      <w:r w:rsidR="00D73132">
        <w:rPr>
          <w:noProof/>
          <w:lang w:val="id-ID"/>
        </w:rPr>
        <w:fldChar w:fldCharType="separate"/>
      </w:r>
      <w:r w:rsidR="00D73132" w:rsidRPr="00D73132">
        <w:rPr>
          <w:noProof/>
          <w:lang w:val="id-ID"/>
        </w:rPr>
        <w:t xml:space="preserve">Patel et al., </w:t>
      </w:r>
      <w:r w:rsidR="00D73132">
        <w:rPr>
          <w:noProof/>
          <w:lang w:val="id-ID"/>
        </w:rPr>
        <w:t>(</w:t>
      </w:r>
      <w:r w:rsidR="00D73132" w:rsidRPr="00D73132">
        <w:rPr>
          <w:noProof/>
          <w:lang w:val="id-ID"/>
        </w:rPr>
        <w:t>2015)</w:t>
      </w:r>
      <w:r w:rsidR="00D73132">
        <w:rPr>
          <w:noProof/>
          <w:lang w:val="id-ID"/>
        </w:rPr>
        <w:fldChar w:fldCharType="end"/>
      </w:r>
      <w:r w:rsidRPr="005E2577">
        <w:rPr>
          <w:noProof/>
          <w:lang w:val="id-ID"/>
        </w:rPr>
        <w:t xml:space="preserve"> highlighting synergistic benefits from natural compound combinations in enhancing cytotoxic efficacy against breast cancer cells. The collaborative action of cinnamon and lemongrass oil vapors within rosella flower tea appears pivotal in augmenting cytotoxic activity, promoting enhanced apoptosis induction and bolstered chemopreventive potential. Nevertheless, further investigations are imperative to elucidate the precise mechanisms through which rosella tea supplemented with cinnamon and lemongrass oil vapor inhibits T47D breast cancer cell proliferation.</w:t>
      </w:r>
    </w:p>
    <w:p w14:paraId="22EC7030" w14:textId="77777777" w:rsidR="00BE522B" w:rsidRPr="00EE6443" w:rsidRDefault="00D25494" w:rsidP="005500A9">
      <w:pPr>
        <w:spacing w:before="240" w:after="0" w:line="480" w:lineRule="auto"/>
        <w:jc w:val="both"/>
        <w:rPr>
          <w:rFonts w:ascii="Times New Roman" w:hAnsi="Times New Roman"/>
          <w:b/>
          <w:sz w:val="24"/>
          <w:szCs w:val="24"/>
          <w:lang w:val="id-ID"/>
        </w:rPr>
      </w:pPr>
      <w:r>
        <w:rPr>
          <w:rFonts w:ascii="Times New Roman" w:hAnsi="Times New Roman"/>
          <w:b/>
          <w:sz w:val="24"/>
          <w:szCs w:val="24"/>
          <w:lang w:val="id-ID"/>
        </w:rPr>
        <w:t>CONCLUSION</w:t>
      </w:r>
    </w:p>
    <w:p w14:paraId="6398A1F3" w14:textId="77777777" w:rsidR="007C12A4" w:rsidRPr="0051032D" w:rsidRDefault="005E2577" w:rsidP="005500A9">
      <w:pPr>
        <w:spacing w:after="0" w:line="480" w:lineRule="auto"/>
        <w:ind w:firstLine="720"/>
        <w:jc w:val="both"/>
        <w:rPr>
          <w:rFonts w:ascii="Times New Roman" w:hAnsi="Times New Roman"/>
          <w:sz w:val="24"/>
          <w:szCs w:val="24"/>
        </w:rPr>
      </w:pPr>
      <w:r w:rsidRPr="005E2577">
        <w:rPr>
          <w:rFonts w:ascii="Times New Roman" w:hAnsi="Times New Roman"/>
          <w:color w:val="000000"/>
          <w:sz w:val="24"/>
          <w:szCs w:val="24"/>
        </w:rPr>
        <w:t>Based on the conducted research, it is evident that rosella tea supplemented with cinnamon and lemongrass oil exhibits a synergistic effect, thereby demonstrating enhanced cytotoxic activity compared to the negative control consisting of plain rosella tea. Among the treatments assessed, tea subjected to F6 conditions, involving the incorporation of 5 g of cinnamon and a 15-second exposure to evaporated lemongrass oil, displayed the highest cytotoxic activity, characterized by an IC</w:t>
      </w:r>
      <w:r w:rsidRPr="00D11696">
        <w:rPr>
          <w:rFonts w:ascii="Times New Roman" w:hAnsi="Times New Roman"/>
          <w:color w:val="000000"/>
          <w:sz w:val="24"/>
          <w:szCs w:val="24"/>
          <w:vertAlign w:val="subscript"/>
        </w:rPr>
        <w:t>50</w:t>
      </w:r>
      <w:r w:rsidRPr="005E2577">
        <w:rPr>
          <w:rFonts w:ascii="Times New Roman" w:hAnsi="Times New Roman"/>
          <w:color w:val="000000"/>
          <w:sz w:val="24"/>
          <w:szCs w:val="24"/>
        </w:rPr>
        <w:t xml:space="preserve"> value of 730 </w:t>
      </w:r>
      <w:r>
        <w:rPr>
          <w:rFonts w:ascii="Times New Roman" w:hAnsi="Times New Roman"/>
          <w:color w:val="000000"/>
          <w:sz w:val="24"/>
          <w:szCs w:val="24"/>
        </w:rPr>
        <w:t>µ</w:t>
      </w:r>
      <w:r w:rsidRPr="005E2577">
        <w:rPr>
          <w:rFonts w:ascii="Times New Roman" w:hAnsi="Times New Roman"/>
          <w:color w:val="000000"/>
          <w:sz w:val="24"/>
          <w:szCs w:val="24"/>
        </w:rPr>
        <w:t xml:space="preserve">g/mL, indicative of moderate cytotoxicity. These findings suggest its potential utility as a </w:t>
      </w:r>
      <w:proofErr w:type="spellStart"/>
      <w:r w:rsidRPr="005E2577">
        <w:rPr>
          <w:rFonts w:ascii="Times New Roman" w:hAnsi="Times New Roman"/>
          <w:color w:val="000000"/>
          <w:sz w:val="24"/>
          <w:szCs w:val="24"/>
        </w:rPr>
        <w:t>chemopreventive</w:t>
      </w:r>
      <w:proofErr w:type="spellEnd"/>
      <w:r w:rsidRPr="005E2577">
        <w:rPr>
          <w:rFonts w:ascii="Times New Roman" w:hAnsi="Times New Roman"/>
          <w:color w:val="000000"/>
          <w:sz w:val="24"/>
          <w:szCs w:val="24"/>
        </w:rPr>
        <w:t xml:space="preserve"> agent against breast cancer.</w:t>
      </w:r>
    </w:p>
    <w:p w14:paraId="7189D02D" w14:textId="77777777" w:rsidR="00D25494" w:rsidRDefault="00D25494" w:rsidP="005500A9">
      <w:pPr>
        <w:tabs>
          <w:tab w:val="left" w:pos="1830"/>
        </w:tabs>
        <w:spacing w:before="240" w:after="0" w:line="480" w:lineRule="auto"/>
        <w:jc w:val="both"/>
        <w:rPr>
          <w:rFonts w:ascii="Times New Roman" w:hAnsi="Times New Roman"/>
          <w:b/>
          <w:sz w:val="24"/>
          <w:szCs w:val="24"/>
          <w:lang w:val="id-ID"/>
        </w:rPr>
      </w:pPr>
      <w:r>
        <w:rPr>
          <w:rFonts w:ascii="Times New Roman" w:hAnsi="Times New Roman"/>
          <w:b/>
          <w:sz w:val="24"/>
          <w:szCs w:val="24"/>
          <w:lang w:val="id-ID"/>
        </w:rPr>
        <w:t>ACKNOWLEDGMENT</w:t>
      </w:r>
    </w:p>
    <w:p w14:paraId="4F043393" w14:textId="10B78458" w:rsidR="00394E8C" w:rsidRPr="00394E8C" w:rsidRDefault="00EA249D" w:rsidP="00EA249D">
      <w:pPr>
        <w:spacing w:before="240" w:after="0" w:line="480" w:lineRule="auto"/>
        <w:jc w:val="both"/>
        <w:rPr>
          <w:rFonts w:ascii="Times New Roman" w:hAnsi="Times New Roman"/>
          <w:sz w:val="24"/>
          <w:szCs w:val="24"/>
          <w:lang w:val="id-ID"/>
        </w:rPr>
      </w:pPr>
      <w:r>
        <w:rPr>
          <w:rFonts w:ascii="Times New Roman" w:hAnsi="Times New Roman"/>
          <w:sz w:val="24"/>
          <w:szCs w:val="24"/>
          <w:lang w:val="id-ID"/>
        </w:rPr>
        <w:tab/>
      </w:r>
      <w:r w:rsidR="00394E8C" w:rsidRPr="00394E8C">
        <w:rPr>
          <w:rFonts w:ascii="Times New Roman" w:hAnsi="Times New Roman"/>
          <w:sz w:val="24"/>
          <w:szCs w:val="24"/>
          <w:lang w:val="id-ID"/>
        </w:rPr>
        <w:t xml:space="preserve">We extend our heartfelt gratitude to the members of the CCRC Faculty of Pharmacy at UGM for their assistance in conducting the cytotoxic </w:t>
      </w:r>
      <w:r w:rsidR="00394E8C">
        <w:rPr>
          <w:rFonts w:ascii="Times New Roman" w:hAnsi="Times New Roman"/>
          <w:sz w:val="24"/>
          <w:szCs w:val="24"/>
          <w:lang w:val="id-ID"/>
        </w:rPr>
        <w:t>test</w:t>
      </w:r>
      <w:r w:rsidR="00394E8C" w:rsidRPr="00394E8C">
        <w:rPr>
          <w:rFonts w:ascii="Times New Roman" w:hAnsi="Times New Roman"/>
          <w:sz w:val="24"/>
          <w:szCs w:val="24"/>
          <w:lang w:val="id-ID"/>
        </w:rPr>
        <w:t>.</w:t>
      </w:r>
    </w:p>
    <w:p w14:paraId="6F3B7786" w14:textId="77777777" w:rsidR="004A719E" w:rsidRDefault="00D25494" w:rsidP="005500A9">
      <w:pPr>
        <w:tabs>
          <w:tab w:val="left" w:pos="1830"/>
        </w:tabs>
        <w:spacing w:before="240" w:after="0" w:line="480" w:lineRule="auto"/>
        <w:jc w:val="both"/>
        <w:rPr>
          <w:rFonts w:ascii="Times New Roman" w:hAnsi="Times New Roman"/>
          <w:b/>
          <w:sz w:val="24"/>
          <w:szCs w:val="24"/>
        </w:rPr>
      </w:pPr>
      <w:r w:rsidRPr="004A719E">
        <w:rPr>
          <w:rFonts w:ascii="Times New Roman" w:hAnsi="Times New Roman"/>
          <w:b/>
          <w:sz w:val="24"/>
          <w:szCs w:val="24"/>
        </w:rPr>
        <w:t>REFERENCES</w:t>
      </w:r>
      <w:r>
        <w:rPr>
          <w:rFonts w:ascii="Times New Roman" w:hAnsi="Times New Roman"/>
          <w:b/>
          <w:sz w:val="24"/>
          <w:szCs w:val="24"/>
        </w:rPr>
        <w:t xml:space="preserve"> </w:t>
      </w:r>
      <w:r w:rsidR="0051032D">
        <w:rPr>
          <w:rFonts w:ascii="Times New Roman" w:hAnsi="Times New Roman"/>
          <w:b/>
          <w:sz w:val="24"/>
          <w:szCs w:val="24"/>
        </w:rPr>
        <w:tab/>
      </w:r>
    </w:p>
    <w:p w14:paraId="576549D0" w14:textId="77777777" w:rsidR="00D73132" w:rsidRPr="00D73132" w:rsidRDefault="0051032D"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Pr>
          <w:rFonts w:ascii="Times New Roman" w:hAnsi="Times New Roman"/>
          <w:b/>
          <w:sz w:val="24"/>
          <w:szCs w:val="24"/>
        </w:rPr>
        <w:fldChar w:fldCharType="begin" w:fldLock="1"/>
      </w:r>
      <w:r>
        <w:rPr>
          <w:rFonts w:ascii="Times New Roman" w:hAnsi="Times New Roman"/>
          <w:b/>
          <w:sz w:val="24"/>
          <w:szCs w:val="24"/>
        </w:rPr>
        <w:instrText xml:space="preserve">ADDIN Mendeley Bibliography CSL_BIBLIOGRAPHY </w:instrText>
      </w:r>
      <w:r>
        <w:rPr>
          <w:rFonts w:ascii="Times New Roman" w:hAnsi="Times New Roman"/>
          <w:b/>
          <w:sz w:val="24"/>
          <w:szCs w:val="24"/>
        </w:rPr>
        <w:fldChar w:fldCharType="separate"/>
      </w:r>
      <w:r w:rsidR="00D73132" w:rsidRPr="00D73132">
        <w:rPr>
          <w:rFonts w:ascii="Times New Roman" w:hAnsi="Times New Roman"/>
          <w:noProof/>
          <w:sz w:val="24"/>
          <w:szCs w:val="24"/>
        </w:rPr>
        <w:t xml:space="preserve">Arifianti, L., Studiawan, H., &amp; Megawati, L. (2014). </w:t>
      </w:r>
      <w:r w:rsidR="00DE3E0A" w:rsidRPr="00DE3E0A">
        <w:rPr>
          <w:rFonts w:ascii="Times New Roman" w:hAnsi="Times New Roman"/>
          <w:noProof/>
          <w:sz w:val="24"/>
          <w:szCs w:val="24"/>
        </w:rPr>
        <w:t>In Vitro Test of Soursop Seed Extract (</w:t>
      </w:r>
      <w:r w:rsidR="00DE3E0A" w:rsidRPr="00DE3E0A">
        <w:rPr>
          <w:rFonts w:ascii="Times New Roman" w:hAnsi="Times New Roman"/>
          <w:i/>
          <w:noProof/>
          <w:sz w:val="24"/>
          <w:szCs w:val="24"/>
        </w:rPr>
        <w:t>Annona muricata</w:t>
      </w:r>
      <w:r w:rsidR="00DE3E0A" w:rsidRPr="00DE3E0A">
        <w:rPr>
          <w:rFonts w:ascii="Times New Roman" w:hAnsi="Times New Roman"/>
          <w:noProof/>
          <w:sz w:val="24"/>
          <w:szCs w:val="24"/>
        </w:rPr>
        <w:t xml:space="preserve"> L.) Activity Against Mammalian Cancer Cells</w:t>
      </w:r>
      <w:r w:rsidR="00D73132" w:rsidRPr="00D73132">
        <w:rPr>
          <w:rFonts w:ascii="Times New Roman" w:hAnsi="Times New Roman"/>
          <w:noProof/>
          <w:sz w:val="24"/>
          <w:szCs w:val="24"/>
        </w:rPr>
        <w:t xml:space="preserve">. </w:t>
      </w:r>
      <w:r w:rsidR="00D73132" w:rsidRPr="00D73132">
        <w:rPr>
          <w:rFonts w:ascii="Times New Roman" w:hAnsi="Times New Roman"/>
          <w:i/>
          <w:iCs/>
          <w:noProof/>
          <w:sz w:val="24"/>
          <w:szCs w:val="24"/>
        </w:rPr>
        <w:t>Jurnal Farmasi Dan Ilmu Kefarmasian Indonesia</w:t>
      </w:r>
      <w:r w:rsidR="00D73132" w:rsidRPr="00D73132">
        <w:rPr>
          <w:rFonts w:ascii="Times New Roman" w:hAnsi="Times New Roman"/>
          <w:noProof/>
          <w:sz w:val="24"/>
          <w:szCs w:val="24"/>
        </w:rPr>
        <w:t xml:space="preserve">, </w:t>
      </w:r>
      <w:r w:rsidR="00D73132" w:rsidRPr="00D73132">
        <w:rPr>
          <w:rFonts w:ascii="Times New Roman" w:hAnsi="Times New Roman"/>
          <w:i/>
          <w:iCs/>
          <w:noProof/>
          <w:sz w:val="24"/>
          <w:szCs w:val="24"/>
        </w:rPr>
        <w:t>1</w:t>
      </w:r>
      <w:r w:rsidR="00D73132" w:rsidRPr="00D73132">
        <w:rPr>
          <w:rFonts w:ascii="Times New Roman" w:hAnsi="Times New Roman"/>
          <w:noProof/>
          <w:sz w:val="24"/>
          <w:szCs w:val="24"/>
        </w:rPr>
        <w:t>(2).</w:t>
      </w:r>
    </w:p>
    <w:p w14:paraId="63CD8D66"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lastRenderedPageBreak/>
        <w:t>Arismawanti, P., Irmayanti, &amp; AR, C. (2021). Formulation For Making Edible Spoon With Additional Variants of Natural Dye Extract and Cinnamon Powder (</w:t>
      </w:r>
      <w:r w:rsidRPr="00DE3E0A">
        <w:rPr>
          <w:rFonts w:ascii="Times New Roman" w:hAnsi="Times New Roman"/>
          <w:i/>
          <w:noProof/>
          <w:sz w:val="24"/>
          <w:szCs w:val="24"/>
        </w:rPr>
        <w:t>Cinamomum Burmanii</w:t>
      </w:r>
      <w:r w:rsidRPr="00D73132">
        <w:rPr>
          <w:rFonts w:ascii="Times New Roman" w:hAnsi="Times New Roman"/>
          <w:noProof/>
          <w:sz w:val="24"/>
          <w:szCs w:val="24"/>
        </w:rPr>
        <w:t xml:space="preserve">) as Anti-Microbial. </w:t>
      </w:r>
      <w:r w:rsidRPr="00D73132">
        <w:rPr>
          <w:rFonts w:ascii="Times New Roman" w:hAnsi="Times New Roman"/>
          <w:i/>
          <w:iCs/>
          <w:noProof/>
          <w:sz w:val="24"/>
          <w:szCs w:val="24"/>
        </w:rPr>
        <w:t>Serambi Journal of Agricultural Technology</w:t>
      </w:r>
      <w:r w:rsidRPr="00D73132">
        <w:rPr>
          <w:rFonts w:ascii="Times New Roman" w:hAnsi="Times New Roman"/>
          <w:noProof/>
          <w:sz w:val="24"/>
          <w:szCs w:val="24"/>
        </w:rPr>
        <w:t xml:space="preserve">, </w:t>
      </w:r>
      <w:r w:rsidRPr="00D73132">
        <w:rPr>
          <w:rFonts w:ascii="Times New Roman" w:hAnsi="Times New Roman"/>
          <w:i/>
          <w:iCs/>
          <w:noProof/>
          <w:sz w:val="24"/>
          <w:szCs w:val="24"/>
        </w:rPr>
        <w:t>3</w:t>
      </w:r>
      <w:r w:rsidRPr="00D73132">
        <w:rPr>
          <w:rFonts w:ascii="Times New Roman" w:hAnsi="Times New Roman"/>
          <w:noProof/>
          <w:sz w:val="24"/>
          <w:szCs w:val="24"/>
        </w:rPr>
        <w:t xml:space="preserve">(2), 96–105. </w:t>
      </w:r>
    </w:p>
    <w:p w14:paraId="5FB65DEA"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Bayani, G. F. El, Marpaung, N. L. E., Simorangkir, D. A. S., Sianipar, I. R., Ibrahim, N., Kartinah, N. T., Mansur, I. G., Purba, J. S., &amp; Ilyas, E. I. I. (2018). Anti-inflammatory Effects of </w:t>
      </w:r>
      <w:r w:rsidRPr="00DE3E0A">
        <w:rPr>
          <w:rFonts w:ascii="Times New Roman" w:hAnsi="Times New Roman"/>
          <w:i/>
          <w:noProof/>
          <w:sz w:val="24"/>
          <w:szCs w:val="24"/>
        </w:rPr>
        <w:t>Hibiscus Sabdariffa</w:t>
      </w:r>
      <w:r w:rsidRPr="00D73132">
        <w:rPr>
          <w:rFonts w:ascii="Times New Roman" w:hAnsi="Times New Roman"/>
          <w:noProof/>
          <w:sz w:val="24"/>
          <w:szCs w:val="24"/>
        </w:rPr>
        <w:t xml:space="preserve"> Linn. on the IL-1β/IL-1ra Ratio in Plasma and Hippocampus of Overtrained Rats and Correlation with Spatial Memory. </w:t>
      </w:r>
      <w:r w:rsidRPr="00D73132">
        <w:rPr>
          <w:rFonts w:ascii="Times New Roman" w:hAnsi="Times New Roman"/>
          <w:i/>
          <w:iCs/>
          <w:noProof/>
          <w:sz w:val="24"/>
          <w:szCs w:val="24"/>
        </w:rPr>
        <w:t>The Kobe Journal of Medical Sciences</w:t>
      </w:r>
      <w:r w:rsidRPr="00D73132">
        <w:rPr>
          <w:rFonts w:ascii="Times New Roman" w:hAnsi="Times New Roman"/>
          <w:noProof/>
          <w:sz w:val="24"/>
          <w:szCs w:val="24"/>
        </w:rPr>
        <w:t xml:space="preserve">, </w:t>
      </w:r>
      <w:r w:rsidRPr="00D73132">
        <w:rPr>
          <w:rFonts w:ascii="Times New Roman" w:hAnsi="Times New Roman"/>
          <w:i/>
          <w:iCs/>
          <w:noProof/>
          <w:sz w:val="24"/>
          <w:szCs w:val="24"/>
        </w:rPr>
        <w:t>64</w:t>
      </w:r>
      <w:r w:rsidRPr="00D73132">
        <w:rPr>
          <w:rFonts w:ascii="Times New Roman" w:hAnsi="Times New Roman"/>
          <w:noProof/>
          <w:sz w:val="24"/>
          <w:szCs w:val="24"/>
        </w:rPr>
        <w:t>(2), 73–83.</w:t>
      </w:r>
    </w:p>
    <w:p w14:paraId="723DCE5E"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Bevan, P., Pastor, M. V., Almajano, M. P., &amp; Codina-Torrella, I. (2023). Antioxidant and Antiradical Activities of </w:t>
      </w:r>
      <w:r w:rsidRPr="00DE3E0A">
        <w:rPr>
          <w:rFonts w:ascii="Times New Roman" w:hAnsi="Times New Roman"/>
          <w:i/>
          <w:noProof/>
          <w:sz w:val="24"/>
          <w:szCs w:val="24"/>
        </w:rPr>
        <w:t>Hibiscus sabdariffa</w:t>
      </w:r>
      <w:r w:rsidRPr="00D73132">
        <w:rPr>
          <w:rFonts w:ascii="Times New Roman" w:hAnsi="Times New Roman"/>
          <w:noProof/>
          <w:sz w:val="24"/>
          <w:szCs w:val="24"/>
        </w:rPr>
        <w:t xml:space="preserve"> L. Extracts Encapsulated in Calcium Alginate Spheres. </w:t>
      </w:r>
      <w:r w:rsidRPr="00D73132">
        <w:rPr>
          <w:rFonts w:ascii="Times New Roman" w:hAnsi="Times New Roman"/>
          <w:i/>
          <w:iCs/>
          <w:noProof/>
          <w:sz w:val="24"/>
          <w:szCs w:val="24"/>
        </w:rPr>
        <w:t>Polymers</w:t>
      </w:r>
      <w:r w:rsidRPr="00D73132">
        <w:rPr>
          <w:rFonts w:ascii="Times New Roman" w:hAnsi="Times New Roman"/>
          <w:noProof/>
          <w:sz w:val="24"/>
          <w:szCs w:val="24"/>
        </w:rPr>
        <w:t xml:space="preserve">, </w:t>
      </w:r>
      <w:r w:rsidRPr="00D73132">
        <w:rPr>
          <w:rFonts w:ascii="Times New Roman" w:hAnsi="Times New Roman"/>
          <w:i/>
          <w:iCs/>
          <w:noProof/>
          <w:sz w:val="24"/>
          <w:szCs w:val="24"/>
        </w:rPr>
        <w:t>15</w:t>
      </w:r>
      <w:r w:rsidRPr="00D73132">
        <w:rPr>
          <w:rFonts w:ascii="Times New Roman" w:hAnsi="Times New Roman"/>
          <w:noProof/>
          <w:sz w:val="24"/>
          <w:szCs w:val="24"/>
        </w:rPr>
        <w:t xml:space="preserve">(7), 1–19. </w:t>
      </w:r>
    </w:p>
    <w:p w14:paraId="4822EFB9" w14:textId="77777777" w:rsidR="00D73132" w:rsidRPr="00D73132" w:rsidRDefault="00106EB7"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Pr>
          <w:rFonts w:ascii="Times New Roman" w:hAnsi="Times New Roman"/>
          <w:noProof/>
          <w:sz w:val="24"/>
          <w:szCs w:val="24"/>
        </w:rPr>
        <w:t>CCRC. (2009</w:t>
      </w:r>
      <w:r w:rsidR="00D73132" w:rsidRPr="00D73132">
        <w:rPr>
          <w:rFonts w:ascii="Times New Roman" w:hAnsi="Times New Roman"/>
          <w:noProof/>
          <w:sz w:val="24"/>
          <w:szCs w:val="24"/>
        </w:rPr>
        <w:t xml:space="preserve">). Prosedur Tetap: Perhitungan Sel. </w:t>
      </w:r>
      <w:r w:rsidR="00D73132" w:rsidRPr="00D73132">
        <w:rPr>
          <w:rFonts w:ascii="Times New Roman" w:hAnsi="Times New Roman"/>
          <w:i/>
          <w:iCs/>
          <w:noProof/>
          <w:sz w:val="24"/>
          <w:szCs w:val="24"/>
        </w:rPr>
        <w:t>Cancer Chemoprevention Research Center Farmasi UGM Yogyakarta</w:t>
      </w:r>
      <w:r w:rsidR="00D73132" w:rsidRPr="00D73132">
        <w:rPr>
          <w:rFonts w:ascii="Times New Roman" w:hAnsi="Times New Roman"/>
          <w:noProof/>
          <w:sz w:val="24"/>
          <w:szCs w:val="24"/>
        </w:rPr>
        <w:t>, 1–4.</w:t>
      </w:r>
    </w:p>
    <w:p w14:paraId="7F53648B"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CCRC. (2009). Prosedur Tetap Panen Sel. </w:t>
      </w:r>
      <w:r w:rsidRPr="00D73132">
        <w:rPr>
          <w:rFonts w:ascii="Times New Roman" w:hAnsi="Times New Roman"/>
          <w:i/>
          <w:iCs/>
          <w:noProof/>
          <w:sz w:val="24"/>
          <w:szCs w:val="24"/>
        </w:rPr>
        <w:t>Cancer Chemoprevention Research Center Fakultas Farmasi UGM</w:t>
      </w:r>
      <w:r w:rsidRPr="00D73132">
        <w:rPr>
          <w:rFonts w:ascii="Times New Roman" w:hAnsi="Times New Roman"/>
          <w:noProof/>
          <w:sz w:val="24"/>
          <w:szCs w:val="24"/>
        </w:rPr>
        <w:t>, 1–3.</w:t>
      </w:r>
    </w:p>
    <w:p w14:paraId="3D452E9E"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CCRC. (2009). Prosedur Tetap Preparasi Sampel. </w:t>
      </w:r>
      <w:r w:rsidRPr="00D73132">
        <w:rPr>
          <w:rFonts w:ascii="Times New Roman" w:hAnsi="Times New Roman"/>
          <w:i/>
          <w:iCs/>
          <w:noProof/>
          <w:sz w:val="24"/>
          <w:szCs w:val="24"/>
        </w:rPr>
        <w:t>Fakultas Farmasi UGM</w:t>
      </w:r>
      <w:r w:rsidRPr="00D73132">
        <w:rPr>
          <w:rFonts w:ascii="Times New Roman" w:hAnsi="Times New Roman"/>
          <w:noProof/>
          <w:sz w:val="24"/>
          <w:szCs w:val="24"/>
        </w:rPr>
        <w:t>, 1–3.</w:t>
      </w:r>
    </w:p>
    <w:p w14:paraId="221A42A2"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CCRC. (2012). Uji Sitotoksik Metode MTT. </w:t>
      </w:r>
      <w:r w:rsidRPr="00D73132">
        <w:rPr>
          <w:rFonts w:ascii="Times New Roman" w:hAnsi="Times New Roman"/>
          <w:i/>
          <w:iCs/>
          <w:noProof/>
          <w:sz w:val="24"/>
          <w:szCs w:val="24"/>
        </w:rPr>
        <w:t>Cancer Chemoprevention Research Center Fakultas Farmasi UGM</w:t>
      </w:r>
      <w:r w:rsidRPr="00D73132">
        <w:rPr>
          <w:rFonts w:ascii="Times New Roman" w:hAnsi="Times New Roman"/>
          <w:noProof/>
          <w:sz w:val="24"/>
          <w:szCs w:val="24"/>
        </w:rPr>
        <w:t>, 6–9.</w:t>
      </w:r>
    </w:p>
    <w:p w14:paraId="647B1585"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Elshafie, H. S., &amp; Camele, I. (2017). An Overview of The Biological Effects of Some Mediterranean Essential Oils on Human Health. </w:t>
      </w:r>
      <w:r w:rsidRPr="00D73132">
        <w:rPr>
          <w:rFonts w:ascii="Times New Roman" w:hAnsi="Times New Roman"/>
          <w:i/>
          <w:iCs/>
          <w:noProof/>
          <w:sz w:val="24"/>
          <w:szCs w:val="24"/>
        </w:rPr>
        <w:t>BioMed Research International</w:t>
      </w:r>
      <w:r w:rsidRPr="00D73132">
        <w:rPr>
          <w:rFonts w:ascii="Times New Roman" w:hAnsi="Times New Roman"/>
          <w:noProof/>
          <w:sz w:val="24"/>
          <w:szCs w:val="24"/>
        </w:rPr>
        <w:t xml:space="preserve">, </w:t>
      </w:r>
      <w:r w:rsidRPr="00D73132">
        <w:rPr>
          <w:rFonts w:ascii="Times New Roman" w:hAnsi="Times New Roman"/>
          <w:i/>
          <w:iCs/>
          <w:noProof/>
          <w:sz w:val="24"/>
          <w:szCs w:val="24"/>
        </w:rPr>
        <w:t>1</w:t>
      </w:r>
      <w:r w:rsidRPr="00D73132">
        <w:rPr>
          <w:rFonts w:ascii="Times New Roman" w:hAnsi="Times New Roman"/>
          <w:noProof/>
          <w:sz w:val="24"/>
          <w:szCs w:val="24"/>
        </w:rPr>
        <w:t xml:space="preserve">(1), 1–14. </w:t>
      </w:r>
    </w:p>
    <w:p w14:paraId="60F572E5"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Essiedu, J. A., &amp; Kovaleva, E. G. (2024). Physicochemical, antioxidant activity, and sensory characteristics of mead produced with </w:t>
      </w:r>
      <w:r w:rsidRPr="00DE3E0A">
        <w:rPr>
          <w:rFonts w:ascii="Times New Roman" w:hAnsi="Times New Roman"/>
          <w:i/>
          <w:noProof/>
          <w:sz w:val="24"/>
          <w:szCs w:val="24"/>
        </w:rPr>
        <w:t>Hibiscus sabdariffa</w:t>
      </w:r>
      <w:r w:rsidRPr="00D73132">
        <w:rPr>
          <w:rFonts w:ascii="Times New Roman" w:hAnsi="Times New Roman"/>
          <w:noProof/>
          <w:sz w:val="24"/>
          <w:szCs w:val="24"/>
        </w:rPr>
        <w:t xml:space="preserve"> and </w:t>
      </w:r>
      <w:r w:rsidRPr="00DE3E0A">
        <w:rPr>
          <w:rFonts w:ascii="Times New Roman" w:hAnsi="Times New Roman"/>
          <w:i/>
          <w:noProof/>
          <w:sz w:val="24"/>
          <w:szCs w:val="24"/>
        </w:rPr>
        <w:t>Betula pendula</w:t>
      </w:r>
      <w:r w:rsidRPr="00D73132">
        <w:rPr>
          <w:rFonts w:ascii="Times New Roman" w:hAnsi="Times New Roman"/>
          <w:noProof/>
          <w:sz w:val="24"/>
          <w:szCs w:val="24"/>
        </w:rPr>
        <w:t xml:space="preserve"> (Birch sap). </w:t>
      </w:r>
      <w:r w:rsidRPr="00D73132">
        <w:rPr>
          <w:rFonts w:ascii="Times New Roman" w:hAnsi="Times New Roman"/>
          <w:i/>
          <w:iCs/>
          <w:noProof/>
          <w:sz w:val="24"/>
          <w:szCs w:val="24"/>
        </w:rPr>
        <w:t>Biocatalysis and Agricultural Biotechnology</w:t>
      </w:r>
      <w:r w:rsidRPr="00D73132">
        <w:rPr>
          <w:rFonts w:ascii="Times New Roman" w:hAnsi="Times New Roman"/>
          <w:noProof/>
          <w:sz w:val="24"/>
          <w:szCs w:val="24"/>
        </w:rPr>
        <w:t xml:space="preserve">, </w:t>
      </w:r>
      <w:r w:rsidRPr="00D73132">
        <w:rPr>
          <w:rFonts w:ascii="Times New Roman" w:hAnsi="Times New Roman"/>
          <w:i/>
          <w:iCs/>
          <w:noProof/>
          <w:sz w:val="24"/>
          <w:szCs w:val="24"/>
        </w:rPr>
        <w:t>58</w:t>
      </w:r>
      <w:r w:rsidRPr="00D73132">
        <w:rPr>
          <w:rFonts w:ascii="Times New Roman" w:hAnsi="Times New Roman"/>
          <w:noProof/>
          <w:sz w:val="24"/>
          <w:szCs w:val="24"/>
        </w:rPr>
        <w:t xml:space="preserve">(April), 103189. </w:t>
      </w:r>
    </w:p>
    <w:p w14:paraId="4345A464"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Haque, A., Brazeau, D., &amp; Amin, A. R. (2021). Perspectives on natural compounds in chemoprevention and treatment of cancer: an update with new promising compounds. </w:t>
      </w:r>
      <w:r w:rsidRPr="00D73132">
        <w:rPr>
          <w:rFonts w:ascii="Times New Roman" w:hAnsi="Times New Roman"/>
          <w:i/>
          <w:iCs/>
          <w:noProof/>
          <w:sz w:val="24"/>
          <w:szCs w:val="24"/>
        </w:rPr>
        <w:t>European Journal of Cancer</w:t>
      </w:r>
      <w:r w:rsidRPr="00D73132">
        <w:rPr>
          <w:rFonts w:ascii="Times New Roman" w:hAnsi="Times New Roman"/>
          <w:noProof/>
          <w:sz w:val="24"/>
          <w:szCs w:val="24"/>
        </w:rPr>
        <w:t xml:space="preserve">, </w:t>
      </w:r>
      <w:r w:rsidRPr="00D73132">
        <w:rPr>
          <w:rFonts w:ascii="Times New Roman" w:hAnsi="Times New Roman"/>
          <w:i/>
          <w:iCs/>
          <w:noProof/>
          <w:sz w:val="24"/>
          <w:szCs w:val="24"/>
        </w:rPr>
        <w:t>149</w:t>
      </w:r>
      <w:r w:rsidRPr="00D73132">
        <w:rPr>
          <w:rFonts w:ascii="Times New Roman" w:hAnsi="Times New Roman"/>
          <w:noProof/>
          <w:sz w:val="24"/>
          <w:szCs w:val="24"/>
        </w:rPr>
        <w:t xml:space="preserve">(1), 165–183. </w:t>
      </w:r>
    </w:p>
    <w:p w14:paraId="61C06B11"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Kaulika, N., &amp; Febriansah, R. (2019). Chemopreventive Activity of Roselle’s Hexane Fraction against Breast Cancer by In-Vitro and In-Silico Study. </w:t>
      </w:r>
      <w:r w:rsidRPr="00D73132">
        <w:rPr>
          <w:rFonts w:ascii="Times New Roman" w:hAnsi="Times New Roman"/>
          <w:i/>
          <w:iCs/>
          <w:noProof/>
          <w:sz w:val="24"/>
          <w:szCs w:val="24"/>
        </w:rPr>
        <w:t>Advances in Health Sciences Research</w:t>
      </w:r>
      <w:r w:rsidRPr="00D73132">
        <w:rPr>
          <w:rFonts w:ascii="Times New Roman" w:hAnsi="Times New Roman"/>
          <w:noProof/>
          <w:sz w:val="24"/>
          <w:szCs w:val="24"/>
        </w:rPr>
        <w:t xml:space="preserve">, </w:t>
      </w:r>
      <w:r w:rsidRPr="00D73132">
        <w:rPr>
          <w:rFonts w:ascii="Times New Roman" w:hAnsi="Times New Roman"/>
          <w:i/>
          <w:iCs/>
          <w:noProof/>
          <w:sz w:val="24"/>
          <w:szCs w:val="24"/>
        </w:rPr>
        <w:t>15</w:t>
      </w:r>
      <w:r w:rsidRPr="00D73132">
        <w:rPr>
          <w:rFonts w:ascii="Times New Roman" w:hAnsi="Times New Roman"/>
          <w:noProof/>
          <w:sz w:val="24"/>
          <w:szCs w:val="24"/>
        </w:rPr>
        <w:t xml:space="preserve">(1), 66–71. </w:t>
      </w:r>
    </w:p>
    <w:p w14:paraId="2DD843BE"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Liu, Y., An, T., Wan, D., Yu, B., Fan, Y., &amp; Pei, X. (2020). Targets and Mechanism Used by Cinnamaldehyde, the Main Active Ingredient in Cinnamon, in the Treatment of Breast Cancer. </w:t>
      </w:r>
      <w:r w:rsidRPr="00D73132">
        <w:rPr>
          <w:rFonts w:ascii="Times New Roman" w:hAnsi="Times New Roman"/>
          <w:i/>
          <w:iCs/>
          <w:noProof/>
          <w:sz w:val="24"/>
          <w:szCs w:val="24"/>
        </w:rPr>
        <w:t>Frontiers in Pharmacology</w:t>
      </w:r>
      <w:r w:rsidRPr="00D73132">
        <w:rPr>
          <w:rFonts w:ascii="Times New Roman" w:hAnsi="Times New Roman"/>
          <w:noProof/>
          <w:sz w:val="24"/>
          <w:szCs w:val="24"/>
        </w:rPr>
        <w:t xml:space="preserve">, </w:t>
      </w:r>
      <w:r w:rsidRPr="00D73132">
        <w:rPr>
          <w:rFonts w:ascii="Times New Roman" w:hAnsi="Times New Roman"/>
          <w:i/>
          <w:iCs/>
          <w:noProof/>
          <w:sz w:val="24"/>
          <w:szCs w:val="24"/>
        </w:rPr>
        <w:t>11</w:t>
      </w:r>
      <w:r w:rsidRPr="00D73132">
        <w:rPr>
          <w:rFonts w:ascii="Times New Roman" w:hAnsi="Times New Roman"/>
          <w:noProof/>
          <w:sz w:val="24"/>
          <w:szCs w:val="24"/>
        </w:rPr>
        <w:t>.</w:t>
      </w:r>
    </w:p>
    <w:p w14:paraId="5CAB9E52"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Ma, L., Zhang, M., Zhao, R., Wang, D., Ma, Y., &amp; Ai, L. (2021). Plant Natural Products : Promising Resources for. </w:t>
      </w:r>
      <w:r w:rsidRPr="00D73132">
        <w:rPr>
          <w:rFonts w:ascii="Times New Roman" w:hAnsi="Times New Roman"/>
          <w:i/>
          <w:iCs/>
          <w:noProof/>
          <w:sz w:val="24"/>
          <w:szCs w:val="24"/>
        </w:rPr>
        <w:t>Molecules</w:t>
      </w:r>
      <w:r w:rsidRPr="00D73132">
        <w:rPr>
          <w:rFonts w:ascii="Times New Roman" w:hAnsi="Times New Roman"/>
          <w:noProof/>
          <w:sz w:val="24"/>
          <w:szCs w:val="24"/>
        </w:rPr>
        <w:t xml:space="preserve">, </w:t>
      </w:r>
      <w:r w:rsidRPr="00D73132">
        <w:rPr>
          <w:rFonts w:ascii="Times New Roman" w:hAnsi="Times New Roman"/>
          <w:i/>
          <w:iCs/>
          <w:noProof/>
          <w:sz w:val="24"/>
          <w:szCs w:val="24"/>
        </w:rPr>
        <w:t>26</w:t>
      </w:r>
      <w:r w:rsidRPr="00D73132">
        <w:rPr>
          <w:rFonts w:ascii="Times New Roman" w:hAnsi="Times New Roman"/>
          <w:noProof/>
          <w:sz w:val="24"/>
          <w:szCs w:val="24"/>
        </w:rPr>
        <w:t>(4), 933.</w:t>
      </w:r>
    </w:p>
    <w:p w14:paraId="3EE5A8E0"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Nguyen, Q. V., &amp; Chuyen, H. Van. (2020). Processing of herbal tea fro</w:t>
      </w:r>
      <w:r w:rsidR="00DE3E0A">
        <w:rPr>
          <w:rFonts w:ascii="Times New Roman" w:hAnsi="Times New Roman"/>
          <w:noProof/>
          <w:sz w:val="24"/>
          <w:szCs w:val="24"/>
        </w:rPr>
        <w:t>m roselle (</w:t>
      </w:r>
      <w:r w:rsidR="00DE3E0A" w:rsidRPr="00DE3E0A">
        <w:rPr>
          <w:rFonts w:ascii="Times New Roman" w:hAnsi="Times New Roman"/>
          <w:i/>
          <w:noProof/>
          <w:sz w:val="24"/>
          <w:szCs w:val="24"/>
        </w:rPr>
        <w:t>Hibiscus sabdariffa</w:t>
      </w:r>
      <w:r w:rsidR="00DE3E0A">
        <w:rPr>
          <w:rFonts w:ascii="Times New Roman" w:hAnsi="Times New Roman"/>
          <w:noProof/>
          <w:sz w:val="24"/>
          <w:szCs w:val="24"/>
        </w:rPr>
        <w:t xml:space="preserve"> L</w:t>
      </w:r>
      <w:r w:rsidRPr="00D73132">
        <w:rPr>
          <w:rFonts w:ascii="Times New Roman" w:hAnsi="Times New Roman"/>
          <w:noProof/>
          <w:sz w:val="24"/>
          <w:szCs w:val="24"/>
        </w:rPr>
        <w:t xml:space="preserve">.): Effects of drying temperature and brewing conditions on total soluble solid, phenolic content, antioxidant capacity and sensory quality. </w:t>
      </w:r>
      <w:r w:rsidRPr="00D73132">
        <w:rPr>
          <w:rFonts w:ascii="Times New Roman" w:hAnsi="Times New Roman"/>
          <w:i/>
          <w:iCs/>
          <w:noProof/>
          <w:sz w:val="24"/>
          <w:szCs w:val="24"/>
        </w:rPr>
        <w:t>Beverages</w:t>
      </w:r>
      <w:r w:rsidRPr="00D73132">
        <w:rPr>
          <w:rFonts w:ascii="Times New Roman" w:hAnsi="Times New Roman"/>
          <w:noProof/>
          <w:sz w:val="24"/>
          <w:szCs w:val="24"/>
        </w:rPr>
        <w:t xml:space="preserve">, </w:t>
      </w:r>
      <w:r w:rsidRPr="00D73132">
        <w:rPr>
          <w:rFonts w:ascii="Times New Roman" w:hAnsi="Times New Roman"/>
          <w:i/>
          <w:iCs/>
          <w:noProof/>
          <w:sz w:val="24"/>
          <w:szCs w:val="24"/>
        </w:rPr>
        <w:t>6</w:t>
      </w:r>
      <w:r w:rsidRPr="00D73132">
        <w:rPr>
          <w:rFonts w:ascii="Times New Roman" w:hAnsi="Times New Roman"/>
          <w:noProof/>
          <w:sz w:val="24"/>
          <w:szCs w:val="24"/>
        </w:rPr>
        <w:t xml:space="preserve">(1), 1–11. </w:t>
      </w:r>
    </w:p>
    <w:p w14:paraId="0B8C613C"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Noraida, L., Bintang, M., &amp; Priosoeryanto, B. P. (2021). N-hexane Extract and Fraction of Green Tea as Antiproliferation of MCM-B2 Breast Cancer Cells In Vitro. </w:t>
      </w:r>
      <w:r w:rsidRPr="00D73132">
        <w:rPr>
          <w:rFonts w:ascii="Times New Roman" w:hAnsi="Times New Roman"/>
          <w:i/>
          <w:iCs/>
          <w:noProof/>
          <w:sz w:val="24"/>
          <w:szCs w:val="24"/>
        </w:rPr>
        <w:t>Current Biochemistry</w:t>
      </w:r>
      <w:r w:rsidRPr="00D73132">
        <w:rPr>
          <w:rFonts w:ascii="Times New Roman" w:hAnsi="Times New Roman"/>
          <w:noProof/>
          <w:sz w:val="24"/>
          <w:szCs w:val="24"/>
        </w:rPr>
        <w:t xml:space="preserve">, </w:t>
      </w:r>
      <w:r w:rsidRPr="00D73132">
        <w:rPr>
          <w:rFonts w:ascii="Times New Roman" w:hAnsi="Times New Roman"/>
          <w:i/>
          <w:iCs/>
          <w:noProof/>
          <w:sz w:val="24"/>
          <w:szCs w:val="24"/>
        </w:rPr>
        <w:t>6</w:t>
      </w:r>
      <w:r w:rsidRPr="00D73132">
        <w:rPr>
          <w:rFonts w:ascii="Times New Roman" w:hAnsi="Times New Roman"/>
          <w:noProof/>
          <w:sz w:val="24"/>
          <w:szCs w:val="24"/>
        </w:rPr>
        <w:t>(2), 92–105.</w:t>
      </w:r>
    </w:p>
    <w:p w14:paraId="237AF5B1"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Patel, P. B., Thakkar, V. R., &amp; Patel, J. S. (2015). Cellular effect of curcumin and citral combination on breast cancer cells: Induction of apoptosis and cell cycle arrest. </w:t>
      </w:r>
      <w:r w:rsidRPr="00D73132">
        <w:rPr>
          <w:rFonts w:ascii="Times New Roman" w:hAnsi="Times New Roman"/>
          <w:i/>
          <w:iCs/>
          <w:noProof/>
          <w:sz w:val="24"/>
          <w:szCs w:val="24"/>
        </w:rPr>
        <w:t>Journal of Breast Cancer</w:t>
      </w:r>
      <w:r w:rsidRPr="00D73132">
        <w:rPr>
          <w:rFonts w:ascii="Times New Roman" w:hAnsi="Times New Roman"/>
          <w:noProof/>
          <w:sz w:val="24"/>
          <w:szCs w:val="24"/>
        </w:rPr>
        <w:t xml:space="preserve">, </w:t>
      </w:r>
      <w:r w:rsidRPr="00D73132">
        <w:rPr>
          <w:rFonts w:ascii="Times New Roman" w:hAnsi="Times New Roman"/>
          <w:i/>
          <w:iCs/>
          <w:noProof/>
          <w:sz w:val="24"/>
          <w:szCs w:val="24"/>
        </w:rPr>
        <w:t>18</w:t>
      </w:r>
      <w:r w:rsidRPr="00D73132">
        <w:rPr>
          <w:rFonts w:ascii="Times New Roman" w:hAnsi="Times New Roman"/>
          <w:noProof/>
          <w:sz w:val="24"/>
          <w:szCs w:val="24"/>
        </w:rPr>
        <w:t xml:space="preserve">(3), 225–234. </w:t>
      </w:r>
    </w:p>
    <w:p w14:paraId="3F30584C"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Rad, S. K., Kanthimathi, M. S., Malek, N. A., Lee, G. S., Looi, C. Y., &amp; Wong, W. F. (2015). </w:t>
      </w:r>
      <w:r w:rsidRPr="00DE3E0A">
        <w:rPr>
          <w:rFonts w:ascii="Times New Roman" w:hAnsi="Times New Roman"/>
          <w:i/>
          <w:noProof/>
          <w:sz w:val="24"/>
          <w:szCs w:val="24"/>
        </w:rPr>
        <w:t>Cinnamomum cassia</w:t>
      </w:r>
      <w:r w:rsidRPr="00D73132">
        <w:rPr>
          <w:rFonts w:ascii="Times New Roman" w:hAnsi="Times New Roman"/>
          <w:noProof/>
          <w:sz w:val="24"/>
          <w:szCs w:val="24"/>
        </w:rPr>
        <w:t xml:space="preserve"> Suppresses Caspase-9 through Stimulation of AKT1 in MCF-7 Cells but Not in MDA-MB-231 Cells. </w:t>
      </w:r>
      <w:r w:rsidRPr="00D73132">
        <w:rPr>
          <w:rFonts w:ascii="Times New Roman" w:hAnsi="Times New Roman"/>
          <w:i/>
          <w:iCs/>
          <w:noProof/>
          <w:sz w:val="24"/>
          <w:szCs w:val="24"/>
        </w:rPr>
        <w:t>PLoS One</w:t>
      </w:r>
      <w:r w:rsidRPr="00D73132">
        <w:rPr>
          <w:rFonts w:ascii="Times New Roman" w:hAnsi="Times New Roman"/>
          <w:noProof/>
          <w:sz w:val="24"/>
          <w:szCs w:val="24"/>
        </w:rPr>
        <w:t xml:space="preserve">, </w:t>
      </w:r>
      <w:r w:rsidRPr="00D73132">
        <w:rPr>
          <w:rFonts w:ascii="Times New Roman" w:hAnsi="Times New Roman"/>
          <w:i/>
          <w:iCs/>
          <w:noProof/>
          <w:sz w:val="24"/>
          <w:szCs w:val="24"/>
        </w:rPr>
        <w:t>10</w:t>
      </w:r>
      <w:r w:rsidRPr="00D73132">
        <w:rPr>
          <w:rFonts w:ascii="Times New Roman" w:hAnsi="Times New Roman"/>
          <w:noProof/>
          <w:sz w:val="24"/>
          <w:szCs w:val="24"/>
        </w:rPr>
        <w:t xml:space="preserve">(12), 1–22. </w:t>
      </w:r>
    </w:p>
    <w:p w14:paraId="3CB84303"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Rusli, M. E. F., Rosli, R., Ramli, U. B., Suhaimi, S. A., &amp; Saad, N. (2022). The Potentiality of </w:t>
      </w:r>
      <w:r w:rsidRPr="00D73132">
        <w:rPr>
          <w:rFonts w:ascii="Times New Roman" w:hAnsi="Times New Roman"/>
          <w:noProof/>
          <w:sz w:val="24"/>
          <w:szCs w:val="24"/>
        </w:rPr>
        <w:lastRenderedPageBreak/>
        <w:t xml:space="preserve">Citral in Targeting Breast Cancer Multicellular Tumour Spheroids (MTS). </w:t>
      </w:r>
      <w:r w:rsidRPr="00D73132">
        <w:rPr>
          <w:rFonts w:ascii="Times New Roman" w:hAnsi="Times New Roman"/>
          <w:i/>
          <w:iCs/>
          <w:noProof/>
          <w:sz w:val="24"/>
          <w:szCs w:val="24"/>
        </w:rPr>
        <w:t>Malaysian Journal of Medicine and Health Sciences</w:t>
      </w:r>
      <w:r w:rsidRPr="00D73132">
        <w:rPr>
          <w:rFonts w:ascii="Times New Roman" w:hAnsi="Times New Roman"/>
          <w:noProof/>
          <w:sz w:val="24"/>
          <w:szCs w:val="24"/>
        </w:rPr>
        <w:t xml:space="preserve">, </w:t>
      </w:r>
      <w:r w:rsidRPr="00D73132">
        <w:rPr>
          <w:rFonts w:ascii="Times New Roman" w:hAnsi="Times New Roman"/>
          <w:i/>
          <w:iCs/>
          <w:noProof/>
          <w:sz w:val="24"/>
          <w:szCs w:val="24"/>
        </w:rPr>
        <w:t>18</w:t>
      </w:r>
      <w:r w:rsidRPr="00D73132">
        <w:rPr>
          <w:rFonts w:ascii="Times New Roman" w:hAnsi="Times New Roman"/>
          <w:noProof/>
          <w:sz w:val="24"/>
          <w:szCs w:val="24"/>
        </w:rPr>
        <w:t>(2), 2636–9346.</w:t>
      </w:r>
    </w:p>
    <w:p w14:paraId="03EF970C"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Sari, F., &amp; Aryantini, D. (2018). Karakter Spesifik dan Pengaruh Pemberian Oral Ekstrak Terpurifikasi Kelopak Rosella (</w:t>
      </w:r>
      <w:r w:rsidRPr="00DE3E0A">
        <w:rPr>
          <w:rFonts w:ascii="Times New Roman" w:hAnsi="Times New Roman"/>
          <w:i/>
          <w:noProof/>
          <w:sz w:val="24"/>
          <w:szCs w:val="24"/>
        </w:rPr>
        <w:t>Hibiscus sabdariffa</w:t>
      </w:r>
      <w:r w:rsidRPr="00D73132">
        <w:rPr>
          <w:rFonts w:ascii="Times New Roman" w:hAnsi="Times New Roman"/>
          <w:noProof/>
          <w:sz w:val="24"/>
          <w:szCs w:val="24"/>
        </w:rPr>
        <w:t xml:space="preserve"> L.) terhadap Makroskopis Organ Hepar Tikus Wistar. </w:t>
      </w:r>
      <w:r w:rsidRPr="00D73132">
        <w:rPr>
          <w:rFonts w:ascii="Times New Roman" w:hAnsi="Times New Roman"/>
          <w:i/>
          <w:iCs/>
          <w:noProof/>
          <w:sz w:val="24"/>
          <w:szCs w:val="24"/>
        </w:rPr>
        <w:t>Jurnal Wiyata</w:t>
      </w:r>
      <w:r w:rsidRPr="00D73132">
        <w:rPr>
          <w:rFonts w:ascii="Times New Roman" w:hAnsi="Times New Roman"/>
          <w:noProof/>
          <w:sz w:val="24"/>
          <w:szCs w:val="24"/>
        </w:rPr>
        <w:t xml:space="preserve">, </w:t>
      </w:r>
      <w:r w:rsidRPr="00D73132">
        <w:rPr>
          <w:rFonts w:ascii="Times New Roman" w:hAnsi="Times New Roman"/>
          <w:i/>
          <w:iCs/>
          <w:noProof/>
          <w:sz w:val="24"/>
          <w:szCs w:val="24"/>
        </w:rPr>
        <w:t>5</w:t>
      </w:r>
      <w:r w:rsidRPr="00D73132">
        <w:rPr>
          <w:rFonts w:ascii="Times New Roman" w:hAnsi="Times New Roman"/>
          <w:noProof/>
          <w:sz w:val="24"/>
          <w:szCs w:val="24"/>
        </w:rPr>
        <w:t>(1), 1–9.</w:t>
      </w:r>
    </w:p>
    <w:p w14:paraId="19824961"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Shankar, M., Swetha, M., Keerthana, C. K., Rayginia, T. P., &amp; Anto, R. J. (2022). Cancer Chemoprevention: A Strategic Approach Using Phytochemicals. </w:t>
      </w:r>
      <w:r w:rsidRPr="00D73132">
        <w:rPr>
          <w:rFonts w:ascii="Times New Roman" w:hAnsi="Times New Roman"/>
          <w:i/>
          <w:iCs/>
          <w:noProof/>
          <w:sz w:val="24"/>
          <w:szCs w:val="24"/>
        </w:rPr>
        <w:t>Frontiers in Pharmacology</w:t>
      </w:r>
      <w:r w:rsidRPr="00D73132">
        <w:rPr>
          <w:rFonts w:ascii="Times New Roman" w:hAnsi="Times New Roman"/>
          <w:noProof/>
          <w:sz w:val="24"/>
          <w:szCs w:val="24"/>
        </w:rPr>
        <w:t xml:space="preserve">, </w:t>
      </w:r>
      <w:r w:rsidRPr="00D73132">
        <w:rPr>
          <w:rFonts w:ascii="Times New Roman" w:hAnsi="Times New Roman"/>
          <w:i/>
          <w:iCs/>
          <w:noProof/>
          <w:sz w:val="24"/>
          <w:szCs w:val="24"/>
        </w:rPr>
        <w:t>12</w:t>
      </w:r>
      <w:r w:rsidRPr="00D73132">
        <w:rPr>
          <w:rFonts w:ascii="Times New Roman" w:hAnsi="Times New Roman"/>
          <w:noProof/>
          <w:sz w:val="24"/>
          <w:szCs w:val="24"/>
        </w:rPr>
        <w:t xml:space="preserve">(January), 1–25. </w:t>
      </w:r>
    </w:p>
    <w:p w14:paraId="3645D38C"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Sharma, M., Grewal, K., Jandrotia, R., Batish, D. R., Singh, H. P., &amp; Kohli, R. K. (2022). Essential oils as anticancer agents: Potential role in malignancies, drug delivery mechanisms, and immune system enhancement. </w:t>
      </w:r>
      <w:r w:rsidRPr="00D73132">
        <w:rPr>
          <w:rFonts w:ascii="Times New Roman" w:hAnsi="Times New Roman"/>
          <w:i/>
          <w:iCs/>
          <w:noProof/>
          <w:sz w:val="24"/>
          <w:szCs w:val="24"/>
        </w:rPr>
        <w:t>Biomedicine and Pharmacotherapy</w:t>
      </w:r>
      <w:r w:rsidRPr="00D73132">
        <w:rPr>
          <w:rFonts w:ascii="Times New Roman" w:hAnsi="Times New Roman"/>
          <w:noProof/>
          <w:sz w:val="24"/>
          <w:szCs w:val="24"/>
        </w:rPr>
        <w:t xml:space="preserve">, </w:t>
      </w:r>
      <w:r w:rsidRPr="00D73132">
        <w:rPr>
          <w:rFonts w:ascii="Times New Roman" w:hAnsi="Times New Roman"/>
          <w:i/>
          <w:iCs/>
          <w:noProof/>
          <w:sz w:val="24"/>
          <w:szCs w:val="24"/>
        </w:rPr>
        <w:t>146</w:t>
      </w:r>
      <w:r w:rsidRPr="00D73132">
        <w:rPr>
          <w:rFonts w:ascii="Times New Roman" w:hAnsi="Times New Roman"/>
          <w:noProof/>
          <w:sz w:val="24"/>
          <w:szCs w:val="24"/>
        </w:rPr>
        <w:t xml:space="preserve">(1), 1–36. </w:t>
      </w:r>
    </w:p>
    <w:p w14:paraId="2FD17C60"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SNI. (2013). </w:t>
      </w:r>
      <w:r w:rsidRPr="00D73132">
        <w:rPr>
          <w:rFonts w:ascii="Times New Roman" w:hAnsi="Times New Roman"/>
          <w:i/>
          <w:iCs/>
          <w:noProof/>
          <w:sz w:val="24"/>
          <w:szCs w:val="24"/>
        </w:rPr>
        <w:t>Teh Kering dalam Kemasan</w:t>
      </w:r>
      <w:r w:rsidRPr="00D73132">
        <w:rPr>
          <w:rFonts w:ascii="Times New Roman" w:hAnsi="Times New Roman"/>
          <w:noProof/>
          <w:sz w:val="24"/>
          <w:szCs w:val="24"/>
        </w:rPr>
        <w:t>.</w:t>
      </w:r>
    </w:p>
    <w:p w14:paraId="129D328A"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Sung, H., Ferlay, J., Siegel, R. L., Laversanne, M., Soerjomataram, I., Jemal, A., &amp; Bray, F. (2021). Global Cancer Statistics 2020: GLOBOCAN Estimates of Incidence and Mortality Worldwide for 36 Cancers in 185 Countries. </w:t>
      </w:r>
      <w:r w:rsidRPr="00D73132">
        <w:rPr>
          <w:rFonts w:ascii="Times New Roman" w:hAnsi="Times New Roman"/>
          <w:i/>
          <w:iCs/>
          <w:noProof/>
          <w:sz w:val="24"/>
          <w:szCs w:val="24"/>
        </w:rPr>
        <w:t>CA: A Cancer Journal for Clinicians</w:t>
      </w:r>
      <w:r w:rsidRPr="00D73132">
        <w:rPr>
          <w:rFonts w:ascii="Times New Roman" w:hAnsi="Times New Roman"/>
          <w:noProof/>
          <w:sz w:val="24"/>
          <w:szCs w:val="24"/>
        </w:rPr>
        <w:t xml:space="preserve">, </w:t>
      </w:r>
      <w:r w:rsidRPr="00D73132">
        <w:rPr>
          <w:rFonts w:ascii="Times New Roman" w:hAnsi="Times New Roman"/>
          <w:i/>
          <w:iCs/>
          <w:noProof/>
          <w:sz w:val="24"/>
          <w:szCs w:val="24"/>
        </w:rPr>
        <w:t>71</w:t>
      </w:r>
      <w:r w:rsidRPr="00D73132">
        <w:rPr>
          <w:rFonts w:ascii="Times New Roman" w:hAnsi="Times New Roman"/>
          <w:noProof/>
          <w:sz w:val="24"/>
          <w:szCs w:val="24"/>
        </w:rPr>
        <w:t>(3), 209–249.</w:t>
      </w:r>
    </w:p>
    <w:p w14:paraId="33A88C6F"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Thomas, M. L., de Antueno, R., Coyle, K. M., Sultan, M., Cruickshank, B. M., Giacomantonio, M. A., Giacomantonio, C. A., Duncan, R., &amp; Marcato, P. (2016). Citral reduces breast tumor growth by inhibiting the cancer stem cell marker ALDH1A3. </w:t>
      </w:r>
      <w:r w:rsidRPr="00D73132">
        <w:rPr>
          <w:rFonts w:ascii="Times New Roman" w:hAnsi="Times New Roman"/>
          <w:i/>
          <w:iCs/>
          <w:noProof/>
          <w:sz w:val="24"/>
          <w:szCs w:val="24"/>
        </w:rPr>
        <w:t>Molecular Oncology</w:t>
      </w:r>
      <w:r w:rsidRPr="00D73132">
        <w:rPr>
          <w:rFonts w:ascii="Times New Roman" w:hAnsi="Times New Roman"/>
          <w:noProof/>
          <w:sz w:val="24"/>
          <w:szCs w:val="24"/>
        </w:rPr>
        <w:t xml:space="preserve">, </w:t>
      </w:r>
      <w:r w:rsidRPr="00D73132">
        <w:rPr>
          <w:rFonts w:ascii="Times New Roman" w:hAnsi="Times New Roman"/>
          <w:i/>
          <w:iCs/>
          <w:noProof/>
          <w:sz w:val="24"/>
          <w:szCs w:val="24"/>
        </w:rPr>
        <w:t>10</w:t>
      </w:r>
      <w:r w:rsidRPr="00D73132">
        <w:rPr>
          <w:rFonts w:ascii="Times New Roman" w:hAnsi="Times New Roman"/>
          <w:noProof/>
          <w:sz w:val="24"/>
          <w:szCs w:val="24"/>
        </w:rPr>
        <w:t xml:space="preserve">(9), 1485–1496. </w:t>
      </w:r>
    </w:p>
    <w:p w14:paraId="64204FEB"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Tussanti, I., Johan, A., &amp; Kisdjamiatun. (2014). </w:t>
      </w:r>
      <w:r w:rsidR="00DE3E0A" w:rsidRPr="00DE3E0A">
        <w:rPr>
          <w:rFonts w:ascii="Times New Roman" w:hAnsi="Times New Roman"/>
          <w:noProof/>
          <w:sz w:val="24"/>
          <w:szCs w:val="24"/>
        </w:rPr>
        <w:t>In vitro Cytotoxicity of Ethanolic Extract of Parijoto Fruit</w:t>
      </w:r>
      <w:r w:rsidRPr="00D73132">
        <w:rPr>
          <w:rFonts w:ascii="Times New Roman" w:hAnsi="Times New Roman"/>
          <w:noProof/>
          <w:sz w:val="24"/>
          <w:szCs w:val="24"/>
        </w:rPr>
        <w:t xml:space="preserve"> (</w:t>
      </w:r>
      <w:r w:rsidRPr="00DE3E0A">
        <w:rPr>
          <w:rFonts w:ascii="Times New Roman" w:hAnsi="Times New Roman"/>
          <w:i/>
          <w:noProof/>
          <w:sz w:val="24"/>
          <w:szCs w:val="24"/>
        </w:rPr>
        <w:t>Medinilla speciosa</w:t>
      </w:r>
      <w:r w:rsidRPr="00D73132">
        <w:rPr>
          <w:rFonts w:ascii="Times New Roman" w:hAnsi="Times New Roman"/>
          <w:noProof/>
          <w:sz w:val="24"/>
          <w:szCs w:val="24"/>
        </w:rPr>
        <w:t xml:space="preserve">, reinw.ex bl.) terhadap Sel Kanker Payudara T47D. </w:t>
      </w:r>
      <w:r w:rsidRPr="00D73132">
        <w:rPr>
          <w:rFonts w:ascii="Times New Roman" w:hAnsi="Times New Roman"/>
          <w:i/>
          <w:iCs/>
          <w:noProof/>
          <w:sz w:val="24"/>
          <w:szCs w:val="24"/>
        </w:rPr>
        <w:t>Jurnal Gizi Indonesia</w:t>
      </w:r>
      <w:r w:rsidRPr="00D73132">
        <w:rPr>
          <w:rFonts w:ascii="Times New Roman" w:hAnsi="Times New Roman"/>
          <w:noProof/>
          <w:sz w:val="24"/>
          <w:szCs w:val="24"/>
        </w:rPr>
        <w:t xml:space="preserve">, </w:t>
      </w:r>
      <w:r w:rsidRPr="00D73132">
        <w:rPr>
          <w:rFonts w:ascii="Times New Roman" w:hAnsi="Times New Roman"/>
          <w:i/>
          <w:iCs/>
          <w:noProof/>
          <w:sz w:val="24"/>
          <w:szCs w:val="24"/>
        </w:rPr>
        <w:t>2</w:t>
      </w:r>
      <w:r w:rsidRPr="00D73132">
        <w:rPr>
          <w:rFonts w:ascii="Times New Roman" w:hAnsi="Times New Roman"/>
          <w:noProof/>
          <w:sz w:val="24"/>
          <w:szCs w:val="24"/>
        </w:rPr>
        <w:t>(2), 53.</w:t>
      </w:r>
    </w:p>
    <w:p w14:paraId="46A6E328"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Widyaningrum, N., Hussana, A., Saeful Adi, R., Tiastuti, M., &amp; Misti Utami, K. (2020). </w:t>
      </w:r>
      <w:r w:rsidR="00322A45" w:rsidRPr="00322A45">
        <w:rPr>
          <w:rFonts w:ascii="Times New Roman" w:hAnsi="Times New Roman"/>
          <w:noProof/>
          <w:sz w:val="24"/>
          <w:szCs w:val="24"/>
        </w:rPr>
        <w:t>Cytotoxic Activity of Combination of Fig Fruit Extract and Olive Oil against Breast Cancer Cells</w:t>
      </w:r>
      <w:r w:rsidRPr="00D73132">
        <w:rPr>
          <w:rFonts w:ascii="Times New Roman" w:hAnsi="Times New Roman"/>
          <w:noProof/>
          <w:sz w:val="24"/>
          <w:szCs w:val="24"/>
        </w:rPr>
        <w:t xml:space="preserve">. </w:t>
      </w:r>
      <w:r w:rsidRPr="00D73132">
        <w:rPr>
          <w:rFonts w:ascii="Times New Roman" w:hAnsi="Times New Roman"/>
          <w:i/>
          <w:iCs/>
          <w:noProof/>
          <w:sz w:val="24"/>
          <w:szCs w:val="24"/>
        </w:rPr>
        <w:t>Jurnal Farmasi Sains Dan Praktis</w:t>
      </w:r>
      <w:r w:rsidRPr="00D73132">
        <w:rPr>
          <w:rFonts w:ascii="Times New Roman" w:hAnsi="Times New Roman"/>
          <w:noProof/>
          <w:sz w:val="24"/>
          <w:szCs w:val="24"/>
        </w:rPr>
        <w:t xml:space="preserve">, </w:t>
      </w:r>
      <w:r w:rsidRPr="00D73132">
        <w:rPr>
          <w:rFonts w:ascii="Times New Roman" w:hAnsi="Times New Roman"/>
          <w:i/>
          <w:iCs/>
          <w:noProof/>
          <w:sz w:val="24"/>
          <w:szCs w:val="24"/>
        </w:rPr>
        <w:t>6</w:t>
      </w:r>
      <w:r w:rsidRPr="00D73132">
        <w:rPr>
          <w:rFonts w:ascii="Times New Roman" w:hAnsi="Times New Roman"/>
          <w:noProof/>
          <w:sz w:val="24"/>
          <w:szCs w:val="24"/>
        </w:rPr>
        <w:t xml:space="preserve">(1), 2579–4558. </w:t>
      </w:r>
    </w:p>
    <w:p w14:paraId="0B6547E2" w14:textId="77777777" w:rsidR="00D73132" w:rsidRPr="00D73132" w:rsidRDefault="00D73132" w:rsidP="00010E78">
      <w:pPr>
        <w:widowControl w:val="0"/>
        <w:autoSpaceDE w:val="0"/>
        <w:autoSpaceDN w:val="0"/>
        <w:adjustRightInd w:val="0"/>
        <w:spacing w:after="40" w:line="240" w:lineRule="auto"/>
        <w:ind w:left="482" w:hanging="482"/>
        <w:jc w:val="both"/>
        <w:rPr>
          <w:rFonts w:ascii="Times New Roman" w:hAnsi="Times New Roman"/>
          <w:noProof/>
          <w:sz w:val="24"/>
          <w:szCs w:val="24"/>
        </w:rPr>
      </w:pPr>
      <w:r w:rsidRPr="00D73132">
        <w:rPr>
          <w:rFonts w:ascii="Times New Roman" w:hAnsi="Times New Roman"/>
          <w:noProof/>
          <w:sz w:val="24"/>
          <w:szCs w:val="24"/>
        </w:rPr>
        <w:t xml:space="preserve">Yasmin, R., Gogoi, S., Bora, J., Chakraborty, A., Dey, S., Ghaziri, G., Bhattacharjee, S., &amp; Singh, L. H. (2023).  Novel Insight into the Cellular and Molecular Signalling Pathways on Cancer Preventing Effects of </w:t>
      </w:r>
      <w:r w:rsidRPr="00DE3E0A">
        <w:rPr>
          <w:rFonts w:ascii="Times New Roman" w:hAnsi="Times New Roman"/>
          <w:i/>
          <w:noProof/>
          <w:sz w:val="24"/>
          <w:szCs w:val="24"/>
        </w:rPr>
        <w:t>Hibiscus sabdariffa</w:t>
      </w:r>
      <w:r w:rsidRPr="00D73132">
        <w:rPr>
          <w:rFonts w:ascii="Times New Roman" w:hAnsi="Times New Roman"/>
          <w:noProof/>
          <w:sz w:val="24"/>
          <w:szCs w:val="24"/>
        </w:rPr>
        <w:t xml:space="preserve"> : A Review . </w:t>
      </w:r>
      <w:r w:rsidRPr="00D73132">
        <w:rPr>
          <w:rFonts w:ascii="Times New Roman" w:hAnsi="Times New Roman"/>
          <w:i/>
          <w:iCs/>
          <w:noProof/>
          <w:sz w:val="24"/>
          <w:szCs w:val="24"/>
        </w:rPr>
        <w:t>Journal of Cancer Prevention</w:t>
      </w:r>
      <w:r w:rsidRPr="00D73132">
        <w:rPr>
          <w:rFonts w:ascii="Times New Roman" w:hAnsi="Times New Roman"/>
          <w:noProof/>
          <w:sz w:val="24"/>
          <w:szCs w:val="24"/>
        </w:rPr>
        <w:t xml:space="preserve">, </w:t>
      </w:r>
      <w:r w:rsidRPr="00D73132">
        <w:rPr>
          <w:rFonts w:ascii="Times New Roman" w:hAnsi="Times New Roman"/>
          <w:i/>
          <w:iCs/>
          <w:noProof/>
          <w:sz w:val="24"/>
          <w:szCs w:val="24"/>
        </w:rPr>
        <w:t>28</w:t>
      </w:r>
      <w:r w:rsidRPr="00D73132">
        <w:rPr>
          <w:rFonts w:ascii="Times New Roman" w:hAnsi="Times New Roman"/>
          <w:noProof/>
          <w:sz w:val="24"/>
          <w:szCs w:val="24"/>
        </w:rPr>
        <w:t xml:space="preserve">(3), 77–92. </w:t>
      </w:r>
    </w:p>
    <w:p w14:paraId="47834E1E" w14:textId="77777777" w:rsidR="00DF083E" w:rsidRDefault="00D73132" w:rsidP="00010E78">
      <w:pPr>
        <w:widowControl w:val="0"/>
        <w:autoSpaceDE w:val="0"/>
        <w:autoSpaceDN w:val="0"/>
        <w:adjustRightInd w:val="0"/>
        <w:spacing w:after="40" w:line="240" w:lineRule="auto"/>
        <w:ind w:left="482" w:hanging="482"/>
        <w:jc w:val="both"/>
        <w:rPr>
          <w:rFonts w:ascii="Times New Roman" w:hAnsi="Times New Roman"/>
          <w:b/>
          <w:sz w:val="24"/>
          <w:szCs w:val="24"/>
        </w:rPr>
        <w:sectPr w:rsidR="00DF083E" w:rsidSect="005500A9">
          <w:type w:val="continuous"/>
          <w:pgSz w:w="11907" w:h="16839" w:code="9"/>
          <w:pgMar w:top="1440" w:right="1440" w:bottom="1440" w:left="1440" w:header="720" w:footer="720" w:gutter="0"/>
          <w:cols w:space="283"/>
          <w:docGrid w:linePitch="360"/>
        </w:sectPr>
      </w:pPr>
      <w:r w:rsidRPr="00D73132">
        <w:rPr>
          <w:rFonts w:ascii="Times New Roman" w:hAnsi="Times New Roman"/>
          <w:noProof/>
          <w:sz w:val="24"/>
          <w:szCs w:val="24"/>
        </w:rPr>
        <w:t xml:space="preserve">Yi, X., Pei, T., Li, S., &amp; Huang, L. (2022). Cinnamic aldehyde induces apoptosis of breast cancer cells via STAT3/cMyc pathway. </w:t>
      </w:r>
      <w:r w:rsidRPr="00D73132">
        <w:rPr>
          <w:rFonts w:ascii="Times New Roman" w:hAnsi="Times New Roman"/>
          <w:i/>
          <w:iCs/>
          <w:noProof/>
          <w:sz w:val="24"/>
          <w:szCs w:val="24"/>
        </w:rPr>
        <w:t>Research Square</w:t>
      </w:r>
      <w:r w:rsidRPr="00D73132">
        <w:rPr>
          <w:rFonts w:ascii="Times New Roman" w:hAnsi="Times New Roman"/>
          <w:noProof/>
          <w:sz w:val="24"/>
          <w:szCs w:val="24"/>
        </w:rPr>
        <w:t xml:space="preserve">, </w:t>
      </w:r>
      <w:r w:rsidRPr="00D73132">
        <w:rPr>
          <w:rFonts w:ascii="Times New Roman" w:hAnsi="Times New Roman"/>
          <w:i/>
          <w:iCs/>
          <w:noProof/>
          <w:sz w:val="24"/>
          <w:szCs w:val="24"/>
        </w:rPr>
        <w:t>1</w:t>
      </w:r>
      <w:r w:rsidRPr="00D73132">
        <w:rPr>
          <w:rFonts w:ascii="Times New Roman" w:hAnsi="Times New Roman"/>
          <w:noProof/>
          <w:sz w:val="24"/>
          <w:szCs w:val="24"/>
        </w:rPr>
        <w:t xml:space="preserve">(1), 1–18. </w:t>
      </w:r>
      <w:r w:rsidR="0051032D">
        <w:rPr>
          <w:rFonts w:ascii="Times New Roman" w:hAnsi="Times New Roman"/>
          <w:b/>
          <w:sz w:val="24"/>
          <w:szCs w:val="24"/>
        </w:rPr>
        <w:fldChar w:fldCharType="end"/>
      </w:r>
    </w:p>
    <w:p w14:paraId="1358A467" w14:textId="77777777" w:rsidR="000826A5" w:rsidRPr="000826A5" w:rsidRDefault="000826A5" w:rsidP="005500A9">
      <w:pPr>
        <w:spacing w:after="80" w:line="480" w:lineRule="auto"/>
        <w:jc w:val="both"/>
        <w:rPr>
          <w:rFonts w:ascii="Times New Roman" w:hAnsi="Times New Roman"/>
          <w:sz w:val="24"/>
          <w:szCs w:val="24"/>
        </w:rPr>
      </w:pPr>
    </w:p>
    <w:sectPr w:rsidR="000826A5" w:rsidRPr="000826A5" w:rsidSect="005500A9">
      <w:type w:val="continuous"/>
      <w:pgSz w:w="11907" w:h="16839" w:code="9"/>
      <w:pgMar w:top="1440" w:right="1440" w:bottom="1440" w:left="1440" w:header="720" w:footer="720"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F47FD" w14:textId="77777777" w:rsidR="009F1741" w:rsidRDefault="009F1741" w:rsidP="00F84DD5">
      <w:pPr>
        <w:spacing w:after="0" w:line="240" w:lineRule="auto"/>
      </w:pPr>
      <w:r>
        <w:separator/>
      </w:r>
    </w:p>
  </w:endnote>
  <w:endnote w:type="continuationSeparator" w:id="0">
    <w:p w14:paraId="4CA96450" w14:textId="77777777" w:rsidR="009F1741" w:rsidRDefault="009F1741" w:rsidP="00F84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A8F42" w14:textId="77777777" w:rsidR="000C6493" w:rsidRPr="000C6493" w:rsidRDefault="000C6493">
    <w:pPr>
      <w:pStyle w:val="Footer"/>
      <w:jc w:val="right"/>
      <w:rPr>
        <w:rFonts w:ascii="Times New Roman" w:hAnsi="Times New Roman"/>
        <w:sz w:val="20"/>
      </w:rPr>
    </w:pPr>
    <w:r w:rsidRPr="000C6493">
      <w:rPr>
        <w:rFonts w:ascii="Times New Roman" w:hAnsi="Times New Roman"/>
        <w:sz w:val="20"/>
      </w:rPr>
      <w:fldChar w:fldCharType="begin"/>
    </w:r>
    <w:r w:rsidRPr="000C6493">
      <w:rPr>
        <w:rFonts w:ascii="Times New Roman" w:hAnsi="Times New Roman"/>
        <w:sz w:val="20"/>
      </w:rPr>
      <w:instrText xml:space="preserve"> PAGE   \* MERGEFORMAT </w:instrText>
    </w:r>
    <w:r w:rsidRPr="000C6493">
      <w:rPr>
        <w:rFonts w:ascii="Times New Roman" w:hAnsi="Times New Roman"/>
        <w:sz w:val="20"/>
      </w:rPr>
      <w:fldChar w:fldCharType="separate"/>
    </w:r>
    <w:r w:rsidR="003A0730">
      <w:rPr>
        <w:rFonts w:ascii="Times New Roman" w:hAnsi="Times New Roman"/>
        <w:noProof/>
        <w:sz w:val="20"/>
      </w:rPr>
      <w:t>17</w:t>
    </w:r>
    <w:r w:rsidRPr="000C6493">
      <w:rPr>
        <w:rFonts w:ascii="Times New Roman" w:hAnsi="Times New Roman"/>
        <w:noProof/>
        <w:sz w:val="20"/>
      </w:rPr>
      <w:fldChar w:fldCharType="end"/>
    </w:r>
  </w:p>
  <w:p w14:paraId="1B869279" w14:textId="77777777" w:rsidR="000C6493" w:rsidRDefault="000C6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E0D8C" w14:textId="77777777" w:rsidR="009F1741" w:rsidRDefault="009F1741" w:rsidP="00F84DD5">
      <w:pPr>
        <w:spacing w:after="0" w:line="240" w:lineRule="auto"/>
      </w:pPr>
      <w:r>
        <w:separator/>
      </w:r>
    </w:p>
  </w:footnote>
  <w:footnote w:type="continuationSeparator" w:id="0">
    <w:p w14:paraId="782B139C" w14:textId="77777777" w:rsidR="009F1741" w:rsidRDefault="009F1741" w:rsidP="00F84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552DA" w14:textId="77777777" w:rsidR="00F84DD5" w:rsidRPr="00F84DD5" w:rsidRDefault="00F84DD5" w:rsidP="00F84DD5">
    <w:pPr>
      <w:pStyle w:val="Header"/>
      <w:jc w:val="right"/>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773FE6"/>
    <w:multiLevelType w:val="hybridMultilevel"/>
    <w:tmpl w:val="BC3E3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A04244"/>
    <w:multiLevelType w:val="hybridMultilevel"/>
    <w:tmpl w:val="D6D8D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8565214">
    <w:abstractNumId w:val="1"/>
  </w:num>
  <w:num w:numId="2" w16cid:durableId="105658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IyMjYxNjSzNAUyzJR0lIJTi4sz8/NACsxrAbfkCeosAAAA"/>
  </w:docVars>
  <w:rsids>
    <w:rsidRoot w:val="00F84DD5"/>
    <w:rsid w:val="00010E78"/>
    <w:rsid w:val="000140DF"/>
    <w:rsid w:val="000250A3"/>
    <w:rsid w:val="00045A7A"/>
    <w:rsid w:val="00081E79"/>
    <w:rsid w:val="000826A5"/>
    <w:rsid w:val="00095A18"/>
    <w:rsid w:val="000C259F"/>
    <w:rsid w:val="000C6493"/>
    <w:rsid w:val="00102105"/>
    <w:rsid w:val="00106EB7"/>
    <w:rsid w:val="00162BF5"/>
    <w:rsid w:val="00164949"/>
    <w:rsid w:val="001A0A15"/>
    <w:rsid w:val="001B70C6"/>
    <w:rsid w:val="001E11F5"/>
    <w:rsid w:val="00222CA9"/>
    <w:rsid w:val="00286C29"/>
    <w:rsid w:val="002D12AB"/>
    <w:rsid w:val="002D4088"/>
    <w:rsid w:val="002E359C"/>
    <w:rsid w:val="00304EFE"/>
    <w:rsid w:val="00322A45"/>
    <w:rsid w:val="00324D41"/>
    <w:rsid w:val="003362AC"/>
    <w:rsid w:val="0035730B"/>
    <w:rsid w:val="00357E02"/>
    <w:rsid w:val="00363EF1"/>
    <w:rsid w:val="0036748E"/>
    <w:rsid w:val="00394E8C"/>
    <w:rsid w:val="003A0730"/>
    <w:rsid w:val="003C2122"/>
    <w:rsid w:val="003C2B87"/>
    <w:rsid w:val="003D5E2B"/>
    <w:rsid w:val="00407D12"/>
    <w:rsid w:val="0044448C"/>
    <w:rsid w:val="00472BF2"/>
    <w:rsid w:val="0049220B"/>
    <w:rsid w:val="00495A62"/>
    <w:rsid w:val="004A719E"/>
    <w:rsid w:val="004B2639"/>
    <w:rsid w:val="004B7A09"/>
    <w:rsid w:val="004C6894"/>
    <w:rsid w:val="004E0E29"/>
    <w:rsid w:val="004F7E29"/>
    <w:rsid w:val="005034A7"/>
    <w:rsid w:val="0051032D"/>
    <w:rsid w:val="00531570"/>
    <w:rsid w:val="005500A9"/>
    <w:rsid w:val="00550A73"/>
    <w:rsid w:val="005739DC"/>
    <w:rsid w:val="005C7AA7"/>
    <w:rsid w:val="005E2577"/>
    <w:rsid w:val="005E4606"/>
    <w:rsid w:val="005F5C4A"/>
    <w:rsid w:val="00646AEC"/>
    <w:rsid w:val="00675720"/>
    <w:rsid w:val="006A39FC"/>
    <w:rsid w:val="006A6CB6"/>
    <w:rsid w:val="00763DA6"/>
    <w:rsid w:val="007C12A4"/>
    <w:rsid w:val="007C1837"/>
    <w:rsid w:val="0080086E"/>
    <w:rsid w:val="00826A35"/>
    <w:rsid w:val="00840011"/>
    <w:rsid w:val="00872FBA"/>
    <w:rsid w:val="008762B7"/>
    <w:rsid w:val="00887221"/>
    <w:rsid w:val="008935B9"/>
    <w:rsid w:val="008D751D"/>
    <w:rsid w:val="008E3303"/>
    <w:rsid w:val="009058C8"/>
    <w:rsid w:val="00922A89"/>
    <w:rsid w:val="00950FDE"/>
    <w:rsid w:val="00955BDE"/>
    <w:rsid w:val="00957643"/>
    <w:rsid w:val="00993619"/>
    <w:rsid w:val="009E32EC"/>
    <w:rsid w:val="009F1741"/>
    <w:rsid w:val="009F4604"/>
    <w:rsid w:val="00A04650"/>
    <w:rsid w:val="00A1551E"/>
    <w:rsid w:val="00A17427"/>
    <w:rsid w:val="00A366F6"/>
    <w:rsid w:val="00A43B7C"/>
    <w:rsid w:val="00A4401E"/>
    <w:rsid w:val="00AA1E83"/>
    <w:rsid w:val="00AB7944"/>
    <w:rsid w:val="00AC1465"/>
    <w:rsid w:val="00AF0019"/>
    <w:rsid w:val="00B13AB2"/>
    <w:rsid w:val="00B2574A"/>
    <w:rsid w:val="00B324A3"/>
    <w:rsid w:val="00BD11C9"/>
    <w:rsid w:val="00BD516A"/>
    <w:rsid w:val="00BE418C"/>
    <w:rsid w:val="00BE522B"/>
    <w:rsid w:val="00C04769"/>
    <w:rsid w:val="00C46715"/>
    <w:rsid w:val="00C70E34"/>
    <w:rsid w:val="00C96CCB"/>
    <w:rsid w:val="00C96E16"/>
    <w:rsid w:val="00CB570F"/>
    <w:rsid w:val="00CC72A1"/>
    <w:rsid w:val="00CF4C13"/>
    <w:rsid w:val="00D0414D"/>
    <w:rsid w:val="00D11696"/>
    <w:rsid w:val="00D25494"/>
    <w:rsid w:val="00D4020D"/>
    <w:rsid w:val="00D73132"/>
    <w:rsid w:val="00D75EA2"/>
    <w:rsid w:val="00D87230"/>
    <w:rsid w:val="00DB559B"/>
    <w:rsid w:val="00DD331E"/>
    <w:rsid w:val="00DE3E0A"/>
    <w:rsid w:val="00DF083E"/>
    <w:rsid w:val="00E2733B"/>
    <w:rsid w:val="00E306F8"/>
    <w:rsid w:val="00E31158"/>
    <w:rsid w:val="00E73212"/>
    <w:rsid w:val="00E90319"/>
    <w:rsid w:val="00EA249D"/>
    <w:rsid w:val="00EB5AAE"/>
    <w:rsid w:val="00ED0EA1"/>
    <w:rsid w:val="00EE6443"/>
    <w:rsid w:val="00EE6787"/>
    <w:rsid w:val="00F45B08"/>
    <w:rsid w:val="00F64B74"/>
    <w:rsid w:val="00F81727"/>
    <w:rsid w:val="00F84DD5"/>
    <w:rsid w:val="00FA3FE0"/>
    <w:rsid w:val="00FA4B9E"/>
    <w:rsid w:val="00FC0918"/>
    <w:rsid w:val="00FD218F"/>
    <w:rsid w:val="00FD7557"/>
    <w:rsid w:val="00FE5B8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0735C"/>
  <w15:chartTrackingRefBased/>
  <w15:docId w15:val="{A7664573-5F8F-449E-8E26-F24A8EFE6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2">
    <w:name w:val="heading 2"/>
    <w:basedOn w:val="Normal"/>
    <w:next w:val="Normal"/>
    <w:link w:val="Heading2Char"/>
    <w:qFormat/>
    <w:rsid w:val="00A04650"/>
    <w:pPr>
      <w:keepNext/>
      <w:spacing w:before="240" w:after="240" w:line="240" w:lineRule="auto"/>
      <w:jc w:val="center"/>
      <w:outlineLvl w:val="1"/>
    </w:pPr>
    <w:rPr>
      <w:rFonts w:ascii="Times New Roman" w:eastAsia="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DD5"/>
  </w:style>
  <w:style w:type="paragraph" w:styleId="Footer">
    <w:name w:val="footer"/>
    <w:basedOn w:val="Normal"/>
    <w:link w:val="FooterChar"/>
    <w:uiPriority w:val="99"/>
    <w:unhideWhenUsed/>
    <w:rsid w:val="00F84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DD5"/>
  </w:style>
  <w:style w:type="paragraph" w:styleId="ListParagraph">
    <w:name w:val="List Paragraph"/>
    <w:basedOn w:val="Normal"/>
    <w:uiPriority w:val="34"/>
    <w:qFormat/>
    <w:rsid w:val="004A719E"/>
    <w:pPr>
      <w:ind w:left="720"/>
      <w:contextualSpacing/>
    </w:pPr>
  </w:style>
  <w:style w:type="paragraph" w:styleId="BalloonText">
    <w:name w:val="Balloon Text"/>
    <w:basedOn w:val="Normal"/>
    <w:link w:val="BalloonTextChar"/>
    <w:uiPriority w:val="99"/>
    <w:semiHidden/>
    <w:unhideWhenUsed/>
    <w:rsid w:val="005739D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739DC"/>
    <w:rPr>
      <w:rFonts w:ascii="Tahoma" w:hAnsi="Tahoma" w:cs="Tahoma"/>
      <w:sz w:val="16"/>
      <w:szCs w:val="16"/>
    </w:rPr>
  </w:style>
  <w:style w:type="character" w:styleId="Hyperlink">
    <w:name w:val="Hyperlink"/>
    <w:uiPriority w:val="99"/>
    <w:unhideWhenUsed/>
    <w:rsid w:val="00A4401E"/>
    <w:rPr>
      <w:color w:val="0563C1"/>
      <w:u w:val="single"/>
    </w:rPr>
  </w:style>
  <w:style w:type="character" w:customStyle="1" w:styleId="Heading2Char">
    <w:name w:val="Heading 2 Char"/>
    <w:link w:val="Heading2"/>
    <w:rsid w:val="00A04650"/>
    <w:rPr>
      <w:rFonts w:ascii="Times New Roman" w:eastAsia="Times New Roman" w:hAnsi="Times New Roman"/>
      <w:b/>
      <w:sz w:val="24"/>
      <w:szCs w:val="24"/>
      <w:lang w:val="en-US" w:eastAsia="en-US"/>
    </w:rPr>
  </w:style>
  <w:style w:type="table" w:styleId="TableGrid">
    <w:name w:val="Table Grid"/>
    <w:basedOn w:val="TableNormal"/>
    <w:uiPriority w:val="39"/>
    <w:rsid w:val="00A04650"/>
    <w:rPr>
      <w:rFonts w:ascii="Times New Roman" w:eastAsia="Times New Roman" w:hAnsi="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04650"/>
    <w:pPr>
      <w:spacing w:after="0" w:line="240" w:lineRule="auto"/>
    </w:pPr>
    <w:rPr>
      <w:i/>
      <w:iCs/>
      <w:color w:val="44546A"/>
      <w:sz w:val="18"/>
      <w:szCs w:val="18"/>
      <w:lang w:val="id-ID"/>
    </w:rPr>
  </w:style>
  <w:style w:type="paragraph" w:styleId="NormalWeb">
    <w:name w:val="Normal (Web)"/>
    <w:basedOn w:val="Normal"/>
    <w:uiPriority w:val="99"/>
    <w:unhideWhenUsed/>
    <w:rsid w:val="00BD516A"/>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739915">
      <w:bodyDiv w:val="1"/>
      <w:marLeft w:val="0"/>
      <w:marRight w:val="0"/>
      <w:marTop w:val="0"/>
      <w:marBottom w:val="0"/>
      <w:divBdr>
        <w:top w:val="none" w:sz="0" w:space="0" w:color="auto"/>
        <w:left w:val="none" w:sz="0" w:space="0" w:color="auto"/>
        <w:bottom w:val="none" w:sz="0" w:space="0" w:color="auto"/>
        <w:right w:val="none" w:sz="0" w:space="0" w:color="auto"/>
      </w:divBdr>
    </w:div>
    <w:div w:id="904293379">
      <w:bodyDiv w:val="1"/>
      <w:marLeft w:val="0"/>
      <w:marRight w:val="0"/>
      <w:marTop w:val="0"/>
      <w:marBottom w:val="0"/>
      <w:divBdr>
        <w:top w:val="none" w:sz="0" w:space="0" w:color="auto"/>
        <w:left w:val="none" w:sz="0" w:space="0" w:color="auto"/>
        <w:bottom w:val="none" w:sz="0" w:space="0" w:color="auto"/>
        <w:right w:val="none" w:sz="0" w:space="0" w:color="auto"/>
      </w:divBdr>
    </w:div>
    <w:div w:id="1094863464">
      <w:bodyDiv w:val="1"/>
      <w:marLeft w:val="0"/>
      <w:marRight w:val="0"/>
      <w:marTop w:val="0"/>
      <w:marBottom w:val="0"/>
      <w:divBdr>
        <w:top w:val="none" w:sz="0" w:space="0" w:color="auto"/>
        <w:left w:val="none" w:sz="0" w:space="0" w:color="auto"/>
        <w:bottom w:val="none" w:sz="0" w:space="0" w:color="auto"/>
        <w:right w:val="none" w:sz="0" w:space="0" w:color="auto"/>
      </w:divBdr>
    </w:div>
    <w:div w:id="1530680173">
      <w:bodyDiv w:val="1"/>
      <w:marLeft w:val="0"/>
      <w:marRight w:val="0"/>
      <w:marTop w:val="0"/>
      <w:marBottom w:val="0"/>
      <w:divBdr>
        <w:top w:val="none" w:sz="0" w:space="0" w:color="auto"/>
        <w:left w:val="none" w:sz="0" w:space="0" w:color="auto"/>
        <w:bottom w:val="none" w:sz="0" w:space="0" w:color="auto"/>
        <w:right w:val="none" w:sz="0" w:space="0" w:color="auto"/>
      </w:divBdr>
    </w:div>
    <w:div w:id="164431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kim@mail.unnes.ac.id"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Sar181</b:Tag>
    <b:SourceType>JournalArticle</b:SourceType>
    <b:Guid>{C89058C1-99A2-44E5-A5E6-0CA0F552C6BC}</b:Guid>
    <b:Title>Karakter Spesifik dan Pengaruh Pemberian Oral Ekstrak Terpurifikasi Kelopak Rosella (Hibiscus sabdariffa L.) terhadap Makroskopis Organ Hepar Tikus Wistar</b:Title>
    <b:JournalName>Jurnal Wiyata</b:JournalName>
    <b:Year>2018</b:Year>
    <b:Pages>1-9</b:Pages>
    <b:Volume>5</b:Volume>
    <b:Issue>1</b:Issue>
    <b:Author>
      <b:Author>
        <b:NameList>
          <b:Person>
            <b:Last>Sari</b:Last>
            <b:First>Fita</b:First>
          </b:Person>
          <b:Person>
            <b:Last>Aryantini</b:Last>
            <b:First>Dyah</b:First>
          </b:Person>
        </b:NameList>
      </b:Author>
    </b:Author>
    <b:RefOrder>6</b:RefOrder>
  </b:Source>
  <b:Source>
    <b:Tag>Els17</b:Tag>
    <b:SourceType>JournalArticle</b:SourceType>
    <b:Guid>{B7A9734D-0FB1-43BF-B583-E01EEE57E5B1}</b:Guid>
    <b:Title>An Overview of the Biological Effect of Some Mediterranean Essential Oils on Human Health</b:Title>
    <b:JournalName>BioMed Research International</b:JournalName>
    <b:Year>2017</b:Year>
    <b:Pages>1-14</b:Pages>
    <b:Volume>1</b:Volume>
    <b:Issue>1</b:Issue>
    <b:Author>
      <b:Author>
        <b:NameList>
          <b:Person>
            <b:Last>Elshafie</b:Last>
            <b:Middle>S.</b:Middle>
            <b:First>Hazem</b:First>
          </b:Person>
          <b:Person>
            <b:Last>Camele</b:Last>
            <b:First>Ippoto</b:First>
          </b:Person>
        </b:NameList>
      </b:Author>
    </b:Author>
    <b:RefOrder>38</b:RefOrder>
  </b:Source>
</b:Sources>
</file>

<file path=customXml/itemProps1.xml><?xml version="1.0" encoding="utf-8"?>
<ds:datastoreItem xmlns:ds="http://schemas.openxmlformats.org/officeDocument/2006/customXml" ds:itemID="{A9624804-0A7B-4CE3-91A3-222665FDE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15076</Words>
  <Characters>85934</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100809</CharactersWithSpaces>
  <SharedDoc>false</SharedDoc>
  <HLinks>
    <vt:vector size="6" baseType="variant">
      <vt:variant>
        <vt:i4>262189</vt:i4>
      </vt:variant>
      <vt:variant>
        <vt:i4>0</vt:i4>
      </vt:variant>
      <vt:variant>
        <vt:i4>0</vt:i4>
      </vt:variant>
      <vt:variant>
        <vt:i4>5</vt:i4>
      </vt:variant>
      <vt:variant>
        <vt:lpwstr>mailto:edkim@mail.unnes.ac.id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Indonesian Biomedical Journal;Sabila Aisyah</dc:creator>
  <cp:keywords/>
  <cp:lastModifiedBy>ACER</cp:lastModifiedBy>
  <cp:revision>3</cp:revision>
  <cp:lastPrinted>2024-06-24T07:00:00Z</cp:lastPrinted>
  <dcterms:created xsi:type="dcterms:W3CDTF">2024-06-30T13:08:00Z</dcterms:created>
  <dcterms:modified xsi:type="dcterms:W3CDTF">2024-06-30T13:25:00Z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8fa9134c-0ade-3f30-85c1-f1af49d22258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